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9AA2A">
      <w:pPr>
        <w:spacing w:before="163" w:beforeLines="50" w:after="489" w:afterLines="150" w:line="480" w:lineRule="auto"/>
        <w:ind w:firstLine="0" w:firstLineChars="0"/>
        <w:jc w:val="center"/>
        <w:rPr>
          <w:rFonts w:hint="eastAsia" w:ascii="宋体" w:hAnsi="宋体" w:eastAsia="宋体" w:cs="宋体"/>
          <w:b/>
          <w:bCs/>
          <w:sz w:val="44"/>
          <w:szCs w:val="44"/>
        </w:rPr>
      </w:pPr>
      <w:r>
        <w:rPr>
          <w:rFonts w:hint="eastAsia" w:ascii="宋体" w:hAnsi="宋体" w:cs="宋体"/>
          <w:b/>
          <w:bCs/>
          <w:sz w:val="44"/>
          <w:szCs w:val="44"/>
          <w:lang w:val="en-US" w:eastAsia="zh-CN"/>
        </w:rPr>
        <w:t>道路工程施工图</w:t>
      </w:r>
      <w:r>
        <w:rPr>
          <w:rFonts w:hint="eastAsia" w:ascii="宋体" w:hAnsi="宋体" w:eastAsia="宋体" w:cs="宋体"/>
          <w:b/>
          <w:bCs/>
          <w:sz w:val="44"/>
          <w:szCs w:val="44"/>
        </w:rPr>
        <w:t>设计说明</w:t>
      </w:r>
    </w:p>
    <w:p w14:paraId="462417A3">
      <w:pPr>
        <w:ind w:firstLine="199" w:firstLineChars="83"/>
        <w:rPr>
          <w:rFonts w:hint="eastAsia" w:ascii="宋体" w:hAnsi="宋体" w:eastAsia="宋体" w:cs="宋体"/>
        </w:rPr>
        <w:sectPr>
          <w:headerReference r:id="rId7" w:type="first"/>
          <w:footerReference r:id="rId10" w:type="first"/>
          <w:headerReference r:id="rId5" w:type="default"/>
          <w:footerReference r:id="rId8" w:type="default"/>
          <w:headerReference r:id="rId6" w:type="even"/>
          <w:footerReference r:id="rId9" w:type="even"/>
          <w:type w:val="continuous"/>
          <w:pgSz w:w="23820" w:h="16834" w:orient="landscape"/>
          <w:pgMar w:top="850" w:right="1134" w:bottom="1021" w:left="1701" w:header="851" w:footer="850" w:gutter="851"/>
          <w:cols w:space="1418" w:num="1"/>
          <w:docGrid w:type="lines" w:linePitch="326" w:charSpace="0"/>
        </w:sectPr>
      </w:pPr>
    </w:p>
    <w:p w14:paraId="19922078">
      <w:pPr>
        <w:pStyle w:val="2"/>
        <w:bidi w:val="0"/>
        <w:ind w:left="432" w:leftChars="0" w:hanging="432" w:firstLineChars="0"/>
        <w:rPr>
          <w:rFonts w:hint="eastAsia"/>
        </w:rPr>
      </w:pPr>
      <w:r>
        <w:rPr>
          <w:rFonts w:hint="eastAsia"/>
          <w:lang w:val="en-US" w:eastAsia="zh-CN"/>
        </w:rPr>
        <w:t>初步设计批复等依据文件</w:t>
      </w:r>
    </w:p>
    <w:p w14:paraId="33C3D480">
      <w:pPr>
        <w:rPr>
          <w:rFonts w:hint="eastAsia"/>
        </w:rPr>
      </w:pPr>
      <w:r>
        <w:rPr>
          <w:rFonts w:hint="eastAsia"/>
        </w:rPr>
        <w:t>暂无初步设计批复。</w:t>
      </w:r>
    </w:p>
    <w:p w14:paraId="580488F1">
      <w:pPr>
        <w:pStyle w:val="2"/>
        <w:bidi w:val="0"/>
        <w:ind w:left="432" w:leftChars="0" w:hanging="432" w:firstLineChars="0"/>
        <w:rPr>
          <w:rFonts w:hint="eastAsia"/>
          <w:lang w:val="en-US" w:eastAsia="zh-CN"/>
        </w:rPr>
      </w:pPr>
      <w:r>
        <w:rPr>
          <w:rFonts w:hint="eastAsia"/>
          <w:lang w:val="en-US" w:eastAsia="zh-CN"/>
        </w:rPr>
        <w:t>执行初步设计批复情况</w:t>
      </w:r>
    </w:p>
    <w:p w14:paraId="3CF4E793">
      <w:pPr>
        <w:rPr>
          <w:rFonts w:hint="eastAsia"/>
        </w:rPr>
      </w:pPr>
      <w:r>
        <w:rPr>
          <w:rFonts w:hint="eastAsia"/>
        </w:rPr>
        <w:t>暂无初步设计批复。</w:t>
      </w:r>
    </w:p>
    <w:p w14:paraId="56957F3D">
      <w:pPr>
        <w:pStyle w:val="2"/>
        <w:bidi w:val="0"/>
        <w:ind w:left="432" w:leftChars="0" w:hanging="432" w:firstLineChars="0"/>
        <w:rPr>
          <w:rFonts w:hint="eastAsia"/>
          <w:lang w:val="en-US" w:eastAsia="zh-CN"/>
        </w:rPr>
      </w:pPr>
      <w:r>
        <w:rPr>
          <w:rFonts w:hint="eastAsia"/>
          <w:lang w:val="en-US" w:eastAsia="zh-CN"/>
        </w:rPr>
        <w:t>采用的主要设计及施工规范、规程和工程验收标准</w:t>
      </w:r>
    </w:p>
    <w:p w14:paraId="1927BBA8">
      <w:pPr>
        <w:rPr>
          <w:rFonts w:hint="eastAsia" w:ascii="宋体" w:hAnsi="宋体" w:eastAsia="宋体" w:cs="宋体"/>
          <w:szCs w:val="22"/>
        </w:rPr>
      </w:pPr>
      <w:r>
        <w:rPr>
          <w:rFonts w:hint="eastAsia" w:ascii="宋体" w:hAnsi="宋体" w:eastAsia="宋体" w:cs="宋体"/>
          <w:szCs w:val="22"/>
        </w:rPr>
        <w:t>(1)《城市道路工程设计规范》（CJJ 37-2012）2016年版；</w:t>
      </w:r>
    </w:p>
    <w:p w14:paraId="7545DD27">
      <w:pPr>
        <w:rPr>
          <w:rFonts w:hint="eastAsia" w:ascii="宋体" w:hAnsi="宋体" w:eastAsia="宋体" w:cs="宋体"/>
          <w:szCs w:val="22"/>
        </w:rPr>
      </w:pPr>
      <w:r>
        <w:rPr>
          <w:rFonts w:hint="eastAsia" w:ascii="宋体" w:hAnsi="宋体" w:eastAsia="宋体" w:cs="宋体"/>
          <w:szCs w:val="22"/>
        </w:rPr>
        <w:t>(2)《城市道路交通标志和标线设置规范》（GB50138-2015）；</w:t>
      </w:r>
    </w:p>
    <w:p w14:paraId="1D90D9E3">
      <w:pPr>
        <w:rPr>
          <w:rFonts w:hint="eastAsia" w:ascii="宋体" w:hAnsi="宋体" w:eastAsia="宋体" w:cs="宋体"/>
          <w:szCs w:val="22"/>
        </w:rPr>
      </w:pPr>
      <w:r>
        <w:rPr>
          <w:rFonts w:hint="eastAsia" w:ascii="宋体" w:hAnsi="宋体" w:eastAsia="宋体" w:cs="宋体"/>
          <w:szCs w:val="22"/>
        </w:rPr>
        <w:t>(3)《城市道路路线设计规范》（CJJ 193-2012）；</w:t>
      </w:r>
    </w:p>
    <w:p w14:paraId="72F0EAFF">
      <w:pPr>
        <w:rPr>
          <w:rFonts w:hint="eastAsia" w:ascii="宋体" w:hAnsi="宋体" w:eastAsia="宋体" w:cs="宋体"/>
          <w:szCs w:val="22"/>
        </w:rPr>
      </w:pPr>
      <w:r>
        <w:rPr>
          <w:rFonts w:hint="eastAsia" w:ascii="宋体" w:hAnsi="宋体" w:eastAsia="宋体" w:cs="宋体"/>
          <w:szCs w:val="22"/>
        </w:rPr>
        <w:t>(4)《城市道路交叉口设计规程》（CJJ152-2010）；</w:t>
      </w:r>
    </w:p>
    <w:p w14:paraId="0D5EA847">
      <w:pPr>
        <w:rPr>
          <w:rFonts w:hint="eastAsia" w:ascii="宋体" w:hAnsi="宋体" w:eastAsia="宋体" w:cs="宋体"/>
          <w:szCs w:val="22"/>
        </w:rPr>
      </w:pPr>
      <w:r>
        <w:rPr>
          <w:rFonts w:hint="eastAsia" w:ascii="宋体" w:hAnsi="宋体" w:eastAsia="宋体" w:cs="宋体"/>
          <w:szCs w:val="22"/>
        </w:rPr>
        <w:t>(5)《城市道路交叉口规划规范》（GB50647-2011）；</w:t>
      </w:r>
    </w:p>
    <w:p w14:paraId="5F44F783">
      <w:pPr>
        <w:rPr>
          <w:rFonts w:hint="eastAsia" w:ascii="宋体" w:hAnsi="宋体" w:eastAsia="宋体" w:cs="宋体"/>
          <w:szCs w:val="22"/>
        </w:rPr>
      </w:pPr>
      <w:r>
        <w:rPr>
          <w:rFonts w:hint="eastAsia" w:ascii="宋体" w:hAnsi="宋体" w:eastAsia="宋体" w:cs="宋体"/>
          <w:szCs w:val="22"/>
        </w:rPr>
        <w:t>(6)《城市道路交通设施设计规范》（GB 50688-2011）</w:t>
      </w:r>
    </w:p>
    <w:p w14:paraId="37275E5E">
      <w:pPr>
        <w:rPr>
          <w:rFonts w:hint="eastAsia" w:ascii="宋体" w:hAnsi="宋体" w:eastAsia="宋体" w:cs="宋体"/>
          <w:szCs w:val="22"/>
        </w:rPr>
      </w:pPr>
      <w:r>
        <w:rPr>
          <w:rFonts w:hint="eastAsia" w:ascii="宋体" w:hAnsi="宋体" w:eastAsia="宋体" w:cs="宋体"/>
          <w:szCs w:val="22"/>
        </w:rPr>
        <w:t>(7)《道路交通标志和标线》（GB 5768-2009）；</w:t>
      </w:r>
    </w:p>
    <w:p w14:paraId="3C01CEE7">
      <w:pPr>
        <w:rPr>
          <w:rFonts w:hint="eastAsia" w:ascii="宋体" w:hAnsi="宋体" w:eastAsia="宋体" w:cs="宋体"/>
          <w:szCs w:val="22"/>
        </w:rPr>
      </w:pPr>
      <w:r>
        <w:rPr>
          <w:rFonts w:hint="eastAsia" w:ascii="宋体" w:hAnsi="宋体" w:eastAsia="宋体" w:cs="宋体"/>
          <w:szCs w:val="22"/>
        </w:rPr>
        <w:t>(8)《道路交通标志板及支撑件》（GB/T 23827-2009）；</w:t>
      </w:r>
    </w:p>
    <w:p w14:paraId="37CBC000">
      <w:pPr>
        <w:rPr>
          <w:rFonts w:hint="eastAsia" w:ascii="宋体" w:hAnsi="宋体" w:eastAsia="宋体" w:cs="宋体"/>
          <w:szCs w:val="22"/>
        </w:rPr>
      </w:pPr>
      <w:r>
        <w:rPr>
          <w:rFonts w:hint="eastAsia" w:ascii="宋体" w:hAnsi="宋体" w:eastAsia="宋体" w:cs="宋体"/>
          <w:szCs w:val="22"/>
        </w:rPr>
        <w:t>(9)《道路交通反光膜》（GB/T18833-2012）；</w:t>
      </w:r>
    </w:p>
    <w:p w14:paraId="1DDCB83B">
      <w:pPr>
        <w:rPr>
          <w:rFonts w:hint="eastAsia" w:ascii="宋体" w:hAnsi="宋体" w:eastAsia="宋体" w:cs="宋体"/>
          <w:szCs w:val="22"/>
        </w:rPr>
      </w:pPr>
      <w:r>
        <w:rPr>
          <w:rFonts w:hint="eastAsia" w:ascii="宋体" w:hAnsi="宋体" w:eastAsia="宋体" w:cs="宋体"/>
          <w:szCs w:val="22"/>
        </w:rPr>
        <w:t>(10)《路面标线涂料》（JT/T280-2004）；</w:t>
      </w:r>
    </w:p>
    <w:p w14:paraId="7D8ABC39">
      <w:pPr>
        <w:rPr>
          <w:rFonts w:hint="eastAsia" w:ascii="宋体" w:hAnsi="宋体" w:eastAsia="宋体" w:cs="宋体"/>
          <w:szCs w:val="22"/>
        </w:rPr>
      </w:pPr>
      <w:r>
        <w:rPr>
          <w:rFonts w:hint="eastAsia" w:ascii="宋体" w:hAnsi="宋体" w:eastAsia="宋体" w:cs="宋体"/>
          <w:szCs w:val="22"/>
        </w:rPr>
        <w:t>(11)《路面标线用玻璃珠》（GB/T 24722-2009）；</w:t>
      </w:r>
    </w:p>
    <w:p w14:paraId="11132B3A">
      <w:pPr>
        <w:rPr>
          <w:rFonts w:hint="eastAsia" w:ascii="宋体" w:hAnsi="宋体" w:eastAsia="宋体" w:cs="宋体"/>
          <w:szCs w:val="22"/>
        </w:rPr>
      </w:pPr>
      <w:r>
        <w:rPr>
          <w:rFonts w:hint="eastAsia" w:ascii="宋体" w:hAnsi="宋体" w:eastAsia="宋体" w:cs="宋体"/>
          <w:szCs w:val="22"/>
        </w:rPr>
        <w:t>(12)《连续热镀锌钢板及钢带》(GB/T2518-2008)；</w:t>
      </w:r>
    </w:p>
    <w:p w14:paraId="0D450FD2">
      <w:pPr>
        <w:rPr>
          <w:rFonts w:hint="eastAsia" w:ascii="宋体" w:hAnsi="宋体" w:eastAsia="宋体" w:cs="宋体"/>
          <w:szCs w:val="22"/>
        </w:rPr>
      </w:pPr>
      <w:r>
        <w:rPr>
          <w:rFonts w:hint="eastAsia" w:ascii="宋体" w:hAnsi="宋体" w:eastAsia="宋体" w:cs="宋体"/>
          <w:szCs w:val="22"/>
        </w:rPr>
        <w:t>(13)《工业用铝及铝合金热挤压型材》(GB/T6892—2000)；</w:t>
      </w:r>
    </w:p>
    <w:p w14:paraId="1E29EF63">
      <w:pPr>
        <w:rPr>
          <w:rFonts w:hint="eastAsia" w:ascii="宋体" w:hAnsi="宋体" w:eastAsia="宋体" w:cs="宋体"/>
          <w:szCs w:val="22"/>
        </w:rPr>
      </w:pPr>
      <w:r>
        <w:rPr>
          <w:rFonts w:hint="eastAsia" w:ascii="宋体" w:hAnsi="宋体" w:eastAsia="宋体" w:cs="宋体"/>
          <w:szCs w:val="22"/>
        </w:rPr>
        <w:t>(14)《道路交通标线质量要求和检测方法》(GB/T16311—2009)；</w:t>
      </w:r>
    </w:p>
    <w:p w14:paraId="1C7D2D3C">
      <w:pPr>
        <w:rPr>
          <w:rFonts w:hint="eastAsia" w:ascii="宋体" w:hAnsi="宋体" w:eastAsia="宋体" w:cs="宋体"/>
          <w:szCs w:val="22"/>
        </w:rPr>
      </w:pPr>
      <w:r>
        <w:rPr>
          <w:rFonts w:hint="eastAsia" w:ascii="宋体" w:hAnsi="宋体" w:eastAsia="宋体" w:cs="宋体"/>
          <w:szCs w:val="22"/>
        </w:rPr>
        <w:t>(15)《道路交通信号灯设置与安装规范》（GB 14886-2016）；</w:t>
      </w:r>
    </w:p>
    <w:p w14:paraId="1B1657BF">
      <w:pPr>
        <w:rPr>
          <w:rFonts w:hint="eastAsia" w:ascii="宋体" w:hAnsi="宋体" w:eastAsia="宋体" w:cs="宋体"/>
          <w:szCs w:val="22"/>
        </w:rPr>
      </w:pPr>
      <w:r>
        <w:rPr>
          <w:rFonts w:hint="eastAsia" w:ascii="宋体" w:hAnsi="宋体" w:eastAsia="宋体" w:cs="宋体"/>
          <w:szCs w:val="22"/>
        </w:rPr>
        <w:t>(16)《道路交通信号控制机》（GB 25280-2010）；</w:t>
      </w:r>
    </w:p>
    <w:p w14:paraId="4F5B8E45">
      <w:pPr>
        <w:rPr>
          <w:rFonts w:hint="eastAsia" w:ascii="宋体" w:hAnsi="宋体" w:eastAsia="宋体" w:cs="宋体"/>
          <w:szCs w:val="22"/>
        </w:rPr>
      </w:pPr>
      <w:r>
        <w:rPr>
          <w:rFonts w:hint="eastAsia" w:ascii="宋体" w:hAnsi="宋体" w:eastAsia="宋体" w:cs="宋体"/>
          <w:szCs w:val="22"/>
        </w:rPr>
        <w:t>(17)《道路交通信号灯》（GB 14887-2011）；</w:t>
      </w:r>
    </w:p>
    <w:p w14:paraId="33CC9F23">
      <w:pPr>
        <w:rPr>
          <w:rFonts w:hint="eastAsia" w:ascii="宋体" w:hAnsi="宋体" w:eastAsia="宋体" w:cs="宋体"/>
          <w:szCs w:val="22"/>
        </w:rPr>
      </w:pPr>
      <w:r>
        <w:rPr>
          <w:rFonts w:hint="eastAsia" w:ascii="宋体" w:hAnsi="宋体" w:eastAsia="宋体" w:cs="宋体"/>
          <w:szCs w:val="22"/>
        </w:rPr>
        <w:t>(18)《城市交通信号控制系统术语》（GA/T 509- 2004）；</w:t>
      </w:r>
    </w:p>
    <w:p w14:paraId="71D318F5">
      <w:pPr>
        <w:rPr>
          <w:rFonts w:hint="eastAsia" w:ascii="宋体" w:hAnsi="宋体" w:eastAsia="宋体" w:cs="宋体"/>
          <w:szCs w:val="22"/>
        </w:rPr>
      </w:pPr>
      <w:r>
        <w:rPr>
          <w:rFonts w:hint="eastAsia" w:ascii="宋体" w:hAnsi="宋体" w:eastAsia="宋体" w:cs="宋体"/>
          <w:szCs w:val="22"/>
        </w:rPr>
        <w:t>(19)《城市道路交通信号控制方式适用规范》（GA/T 527-2005）；</w:t>
      </w:r>
    </w:p>
    <w:p w14:paraId="409CBE51">
      <w:pPr>
        <w:rPr>
          <w:rFonts w:hint="eastAsia" w:ascii="宋体" w:hAnsi="宋体" w:eastAsia="宋体" w:cs="宋体"/>
          <w:szCs w:val="22"/>
        </w:rPr>
      </w:pPr>
      <w:r>
        <w:rPr>
          <w:rFonts w:hint="eastAsia" w:ascii="宋体" w:hAnsi="宋体" w:eastAsia="宋体" w:cs="宋体"/>
          <w:szCs w:val="22"/>
        </w:rPr>
        <w:t>(20)《建筑物防雷设计规范》（GB 50057－2010）；</w:t>
      </w:r>
    </w:p>
    <w:p w14:paraId="3BE6AC64">
      <w:pPr>
        <w:rPr>
          <w:rFonts w:hint="eastAsia" w:ascii="宋体" w:hAnsi="宋体" w:eastAsia="宋体" w:cs="宋体"/>
          <w:szCs w:val="22"/>
        </w:rPr>
      </w:pPr>
      <w:r>
        <w:rPr>
          <w:rFonts w:hint="eastAsia" w:ascii="宋体" w:hAnsi="宋体" w:eastAsia="宋体" w:cs="宋体"/>
          <w:szCs w:val="22"/>
        </w:rPr>
        <w:t>(21)《电力工程电缆设计规范》（GB 50217－2007）；</w:t>
      </w:r>
    </w:p>
    <w:p w14:paraId="29F3E79E">
      <w:pPr>
        <w:rPr>
          <w:rFonts w:hint="eastAsia" w:ascii="宋体" w:hAnsi="宋体" w:eastAsia="宋体" w:cs="宋体"/>
          <w:szCs w:val="22"/>
        </w:rPr>
      </w:pPr>
      <w:r>
        <w:rPr>
          <w:rFonts w:hint="eastAsia" w:ascii="宋体" w:hAnsi="宋体" w:eastAsia="宋体" w:cs="宋体"/>
          <w:szCs w:val="22"/>
        </w:rPr>
        <w:t>(22)《低压配电设计规范》（GB 50054－2011）等。</w:t>
      </w:r>
    </w:p>
    <w:p w14:paraId="49EFDC44">
      <w:pPr>
        <w:rPr>
          <w:rFonts w:hint="eastAsia"/>
        </w:rPr>
      </w:pPr>
      <w:r>
        <w:rPr>
          <w:rFonts w:hint="eastAsia"/>
        </w:rPr>
        <w:t>特别说明：以上规范、标准等如有以现行最新的规范、标准等相冲突的，一律以最新的规范、标准等为据！</w:t>
      </w:r>
    </w:p>
    <w:p w14:paraId="2998ECA4">
      <w:pPr>
        <w:pStyle w:val="2"/>
        <w:bidi w:val="0"/>
        <w:ind w:left="432" w:leftChars="0" w:hanging="432" w:firstLineChars="0"/>
        <w:rPr>
          <w:rFonts w:hint="eastAsia"/>
          <w:lang w:val="en-US" w:eastAsia="zh-CN"/>
        </w:rPr>
      </w:pPr>
      <w:r>
        <w:rPr>
          <w:rFonts w:hint="eastAsia"/>
          <w:lang w:val="en-US" w:eastAsia="zh-CN"/>
        </w:rPr>
        <w:t>工程概况</w:t>
      </w:r>
    </w:p>
    <w:p w14:paraId="0ABB3DDC">
      <w:pPr>
        <w:spacing w:line="360" w:lineRule="auto"/>
        <w:ind w:firstLine="480"/>
        <w:rPr>
          <w:rFonts w:ascii="宋体" w:hAnsi="宋体"/>
          <w:sz w:val="24"/>
          <w:szCs w:val="24"/>
        </w:rPr>
      </w:pPr>
      <w:r>
        <w:rPr>
          <w:rFonts w:hint="eastAsia" w:ascii="宋体" w:hAnsi="宋体"/>
          <w:sz w:val="24"/>
        </w:rPr>
        <w:t>王家路道路工程为</w:t>
      </w:r>
      <w:bookmarkStart w:id="0" w:name="_GoBack"/>
      <w:bookmarkEnd w:id="0"/>
      <w:r>
        <w:rPr>
          <w:rFonts w:hint="eastAsia" w:ascii="宋体" w:hAnsi="宋体"/>
          <w:sz w:val="24"/>
        </w:rPr>
        <w:t>东西向城市</w:t>
      </w:r>
      <w:r>
        <w:rPr>
          <w:rFonts w:hint="eastAsia" w:ascii="宋体" w:hAnsi="宋体"/>
          <w:sz w:val="24"/>
          <w:lang w:val="en-US" w:eastAsia="zh-CN"/>
        </w:rPr>
        <w:t>次干</w:t>
      </w:r>
      <w:r>
        <w:rPr>
          <w:rFonts w:hint="eastAsia" w:ascii="宋体" w:hAnsi="宋体"/>
          <w:sz w:val="24"/>
        </w:rPr>
        <w:t>路。道路西接</w:t>
      </w:r>
      <w:r>
        <w:rPr>
          <w:rFonts w:hint="eastAsia" w:ascii="宋体" w:hAnsi="宋体" w:eastAsia="宋体" w:cs="宋体"/>
          <w:lang w:val="en-US" w:eastAsia="zh-CN"/>
        </w:rPr>
        <w:t>大洋堆西路</w:t>
      </w:r>
      <w:r>
        <w:rPr>
          <w:rFonts w:hint="eastAsia" w:cs="宋体"/>
          <w:lang w:val="en-US" w:eastAsia="zh-CN"/>
        </w:rPr>
        <w:t>，</w:t>
      </w:r>
      <w:r>
        <w:rPr>
          <w:rFonts w:hint="eastAsia" w:ascii="宋体" w:hAnsi="宋体"/>
          <w:sz w:val="24"/>
        </w:rPr>
        <w:t>东西延伸，终点止于</w:t>
      </w:r>
      <w:r>
        <w:rPr>
          <w:rFonts w:hint="eastAsia" w:ascii="宋体" w:hAnsi="宋体" w:eastAsia="宋体" w:cs="宋体"/>
          <w:lang w:val="en-US" w:eastAsia="zh-CN"/>
        </w:rPr>
        <w:t>园区大道</w:t>
      </w:r>
      <w:r>
        <w:rPr>
          <w:rFonts w:hint="eastAsia" w:ascii="宋体" w:hAnsi="宋体"/>
          <w:sz w:val="24"/>
        </w:rPr>
        <w:t>。路线总长</w:t>
      </w:r>
      <w:r>
        <w:rPr>
          <w:rFonts w:hint="eastAsia" w:ascii="宋体" w:hAnsi="宋体" w:eastAsia="宋体" w:cs="宋体"/>
          <w:lang w:val="en-US" w:eastAsia="zh-CN"/>
        </w:rPr>
        <w:t>384.855</w:t>
      </w:r>
      <w:r>
        <w:rPr>
          <w:rFonts w:hint="eastAsia" w:ascii="宋体" w:hAnsi="宋体"/>
          <w:sz w:val="24"/>
        </w:rPr>
        <w:t>m，道路红线宽2</w:t>
      </w:r>
      <w:r>
        <w:rPr>
          <w:rFonts w:hint="eastAsia" w:ascii="宋体" w:hAnsi="宋体"/>
          <w:sz w:val="24"/>
          <w:lang w:val="en-US" w:eastAsia="zh-CN"/>
        </w:rPr>
        <w:t>4</w:t>
      </w:r>
      <w:r>
        <w:rPr>
          <w:rFonts w:hint="eastAsia" w:ascii="宋体" w:hAnsi="宋体"/>
          <w:sz w:val="24"/>
        </w:rPr>
        <w:t>m，采用一块板形式，双向四车道，设计速度</w:t>
      </w:r>
      <w:r>
        <w:rPr>
          <w:rFonts w:hint="eastAsia" w:ascii="宋体" w:hAnsi="宋体"/>
          <w:sz w:val="24"/>
          <w:lang w:val="en-US" w:eastAsia="zh-CN"/>
        </w:rPr>
        <w:t>4</w:t>
      </w:r>
      <w:r>
        <w:rPr>
          <w:rFonts w:hint="eastAsia" w:ascii="宋体" w:hAnsi="宋体"/>
          <w:sz w:val="24"/>
        </w:rPr>
        <w:t>0km/h。</w:t>
      </w:r>
    </w:p>
    <w:p w14:paraId="7682DA1C">
      <w:pPr>
        <w:pStyle w:val="14"/>
        <w:spacing w:line="360" w:lineRule="auto"/>
        <w:ind w:left="0" w:leftChars="0" w:firstLine="480" w:firstLineChars="200"/>
        <w:jc w:val="left"/>
        <w:rPr>
          <w:rFonts w:hint="eastAsia" w:ascii="宋体" w:hAnsi="宋体"/>
          <w:sz w:val="24"/>
          <w:szCs w:val="24"/>
        </w:rPr>
      </w:pPr>
      <w:r>
        <w:rPr>
          <w:rFonts w:hint="eastAsia" w:ascii="宋体" w:hAnsi="宋体"/>
          <w:sz w:val="24"/>
        </w:rPr>
        <w:t>标准横断面</w:t>
      </w:r>
      <w:r>
        <w:rPr>
          <w:rFonts w:ascii="宋体" w:hAnsi="宋体"/>
          <w:sz w:val="24"/>
        </w:rPr>
        <w:t>具体</w:t>
      </w:r>
      <w:r>
        <w:rPr>
          <w:rFonts w:hint="eastAsia" w:ascii="宋体" w:hAnsi="宋体"/>
          <w:sz w:val="24"/>
        </w:rPr>
        <w:t>布置</w:t>
      </w:r>
      <w:r>
        <w:rPr>
          <w:rFonts w:ascii="宋体" w:hAnsi="宋体"/>
          <w:sz w:val="24"/>
        </w:rPr>
        <w:t>如下：</w:t>
      </w:r>
      <w:r>
        <w:rPr>
          <w:rFonts w:hint="eastAsia" w:ascii="宋体" w:hAnsi="宋体"/>
          <w:sz w:val="24"/>
        </w:rPr>
        <w:t xml:space="preserve"> </w:t>
      </w:r>
      <w:r>
        <w:rPr>
          <w:rFonts w:hint="eastAsia" w:ascii="宋体" w:hAnsi="宋体"/>
          <w:sz w:val="24"/>
          <w:szCs w:val="24"/>
          <w:highlight w:val="none"/>
          <w:lang w:val="en-US" w:eastAsia="zh-CN"/>
        </w:rPr>
        <w:t>24</w:t>
      </w:r>
      <w:r>
        <w:rPr>
          <w:rFonts w:hint="eastAsia" w:ascii="宋体" w:hAnsi="宋体"/>
          <w:sz w:val="24"/>
          <w:szCs w:val="24"/>
          <w:highlight w:val="none"/>
        </w:rPr>
        <w:t>m=人行道（</w:t>
      </w:r>
      <w:r>
        <w:rPr>
          <w:rFonts w:hint="eastAsia" w:ascii="宋体" w:hAnsi="宋体"/>
          <w:sz w:val="24"/>
          <w:szCs w:val="24"/>
          <w:highlight w:val="none"/>
          <w:lang w:val="en-US" w:eastAsia="zh-CN"/>
        </w:rPr>
        <w:t>2</w:t>
      </w:r>
      <w:r>
        <w:rPr>
          <w:rFonts w:hint="eastAsia"/>
          <w:sz w:val="24"/>
          <w:szCs w:val="24"/>
          <w:highlight w:val="none"/>
          <w:lang w:val="en-US" w:eastAsia="zh-CN"/>
        </w:rPr>
        <w:t>.5</w:t>
      </w:r>
      <w:r>
        <w:rPr>
          <w:rFonts w:hint="eastAsia" w:ascii="宋体" w:hAnsi="宋体"/>
          <w:sz w:val="24"/>
          <w:szCs w:val="24"/>
          <w:highlight w:val="none"/>
        </w:rPr>
        <w:t>m）+非机动车道（</w:t>
      </w:r>
      <w:r>
        <w:rPr>
          <w:rFonts w:hint="eastAsia" w:ascii="宋体" w:hAnsi="宋体"/>
          <w:sz w:val="24"/>
          <w:szCs w:val="24"/>
          <w:highlight w:val="none"/>
          <w:lang w:val="en-US" w:eastAsia="zh-CN"/>
        </w:rPr>
        <w:t>2</w:t>
      </w:r>
      <w:r>
        <w:rPr>
          <w:rFonts w:hint="eastAsia"/>
          <w:sz w:val="24"/>
          <w:szCs w:val="24"/>
          <w:highlight w:val="none"/>
          <w:lang w:val="en-US" w:eastAsia="zh-CN"/>
        </w:rPr>
        <w:t>.5</w:t>
      </w:r>
      <w:r>
        <w:rPr>
          <w:rFonts w:hint="eastAsia" w:ascii="宋体" w:hAnsi="宋体"/>
          <w:sz w:val="24"/>
          <w:szCs w:val="24"/>
          <w:highlight w:val="none"/>
        </w:rPr>
        <w:t>m）+机动车道（3.</w:t>
      </w:r>
      <w:r>
        <w:rPr>
          <w:rFonts w:ascii="宋体" w:hAnsi="宋体"/>
          <w:sz w:val="24"/>
          <w:szCs w:val="24"/>
          <w:highlight w:val="none"/>
        </w:rPr>
        <w:t>5</w:t>
      </w:r>
      <w:r>
        <w:rPr>
          <w:rFonts w:hint="eastAsia" w:ascii="宋体" w:hAnsi="宋体"/>
          <w:sz w:val="24"/>
          <w:szCs w:val="24"/>
          <w:highlight w:val="none"/>
        </w:rPr>
        <w:t>m）+机动车道（3.5m）+机动车道（3.5m）+机动车道（3.</w:t>
      </w:r>
      <w:r>
        <w:rPr>
          <w:rFonts w:ascii="宋体" w:hAnsi="宋体"/>
          <w:sz w:val="24"/>
          <w:szCs w:val="24"/>
          <w:highlight w:val="none"/>
        </w:rPr>
        <w:t>5</w:t>
      </w:r>
      <w:r>
        <w:rPr>
          <w:rFonts w:hint="eastAsia" w:ascii="宋体" w:hAnsi="宋体"/>
          <w:sz w:val="24"/>
          <w:szCs w:val="24"/>
          <w:highlight w:val="none"/>
        </w:rPr>
        <w:t>m）+非机动车道（</w:t>
      </w:r>
      <w:r>
        <w:rPr>
          <w:rFonts w:hint="eastAsia" w:ascii="宋体" w:hAnsi="宋体"/>
          <w:sz w:val="24"/>
          <w:szCs w:val="24"/>
          <w:highlight w:val="none"/>
          <w:lang w:val="en-US" w:eastAsia="zh-CN"/>
        </w:rPr>
        <w:t>2</w:t>
      </w:r>
      <w:r>
        <w:rPr>
          <w:rFonts w:hint="eastAsia"/>
          <w:sz w:val="24"/>
          <w:szCs w:val="24"/>
          <w:highlight w:val="none"/>
          <w:lang w:val="en-US" w:eastAsia="zh-CN"/>
        </w:rPr>
        <w:t>.5</w:t>
      </w:r>
      <w:r>
        <w:rPr>
          <w:rFonts w:hint="eastAsia" w:ascii="宋体" w:hAnsi="宋体"/>
          <w:sz w:val="24"/>
          <w:szCs w:val="24"/>
          <w:highlight w:val="none"/>
        </w:rPr>
        <w:t>m）+人行道（</w:t>
      </w:r>
      <w:r>
        <w:rPr>
          <w:rFonts w:hint="eastAsia" w:ascii="宋体" w:hAnsi="宋体"/>
          <w:sz w:val="24"/>
          <w:szCs w:val="24"/>
          <w:highlight w:val="none"/>
          <w:lang w:val="en-US" w:eastAsia="zh-CN"/>
        </w:rPr>
        <w:t>2</w:t>
      </w:r>
      <w:r>
        <w:rPr>
          <w:rFonts w:hint="eastAsia"/>
          <w:sz w:val="24"/>
          <w:szCs w:val="24"/>
          <w:highlight w:val="none"/>
          <w:lang w:val="en-US" w:eastAsia="zh-CN"/>
        </w:rPr>
        <w:t>.5</w:t>
      </w:r>
      <w:r>
        <w:rPr>
          <w:rFonts w:hint="eastAsia" w:ascii="宋体" w:hAnsi="宋体"/>
          <w:sz w:val="24"/>
          <w:szCs w:val="24"/>
          <w:highlight w:val="none"/>
        </w:rPr>
        <w:t>m）</w:t>
      </w:r>
      <w:r>
        <w:rPr>
          <w:rFonts w:hint="eastAsia" w:ascii="宋体" w:hAnsi="宋体"/>
          <w:sz w:val="24"/>
          <w:szCs w:val="24"/>
        </w:rPr>
        <w:t>。</w:t>
      </w:r>
    </w:p>
    <w:p w14:paraId="6A26446C">
      <w:pPr>
        <w:pStyle w:val="2"/>
        <w:bidi w:val="0"/>
        <w:ind w:left="432" w:leftChars="0" w:hanging="432" w:firstLineChars="0"/>
        <w:rPr>
          <w:rFonts w:hint="eastAsia"/>
          <w:lang w:val="en-US" w:eastAsia="zh-CN"/>
        </w:rPr>
      </w:pPr>
      <w:r>
        <w:rPr>
          <w:rFonts w:hint="eastAsia"/>
          <w:lang w:val="en-US" w:eastAsia="zh-CN"/>
        </w:rPr>
        <w:t>设计概要</w:t>
      </w:r>
    </w:p>
    <w:p w14:paraId="05D190EA">
      <w:pPr>
        <w:spacing w:line="360" w:lineRule="auto"/>
        <w:ind w:firstLine="480" w:firstLineChars="200"/>
        <w:rPr>
          <w:rFonts w:hint="eastAsia" w:ascii="宋体" w:hAnsi="宋体"/>
          <w:sz w:val="24"/>
          <w:szCs w:val="24"/>
        </w:rPr>
      </w:pPr>
      <w:r>
        <w:rPr>
          <w:rFonts w:hint="eastAsia" w:ascii="宋体" w:hAnsi="宋体"/>
          <w:sz w:val="24"/>
        </w:rPr>
        <w:t>本项目交通安全设施设计内容包括标志、标线、</w:t>
      </w:r>
      <w:r>
        <w:rPr>
          <w:rFonts w:ascii="宋体" w:hAnsi="宋体"/>
          <w:sz w:val="24"/>
        </w:rPr>
        <w:t>信号灯</w:t>
      </w:r>
      <w:r>
        <w:rPr>
          <w:rFonts w:hint="eastAsia" w:ascii="宋体" w:hAnsi="宋体"/>
          <w:sz w:val="24"/>
        </w:rPr>
        <w:t>。交通设施等级为</w:t>
      </w:r>
      <w:r>
        <w:rPr>
          <w:rFonts w:hint="eastAsia" w:ascii="宋体" w:hAnsi="宋体"/>
          <w:sz w:val="24"/>
          <w:lang w:val="en-US" w:eastAsia="zh-CN"/>
        </w:rPr>
        <w:t>C</w:t>
      </w:r>
      <w:r>
        <w:rPr>
          <w:rFonts w:hint="eastAsia" w:ascii="宋体" w:hAnsi="宋体"/>
          <w:sz w:val="24"/>
        </w:rPr>
        <w:t>级。</w:t>
      </w:r>
    </w:p>
    <w:p w14:paraId="2E9E9525">
      <w:pPr>
        <w:pStyle w:val="3"/>
        <w:bidi w:val="0"/>
        <w:ind w:left="575" w:leftChars="0" w:hanging="575" w:firstLineChars="0"/>
        <w:rPr>
          <w:rFonts w:hint="eastAsia"/>
          <w:lang w:val="en-US" w:eastAsia="zh-CN"/>
        </w:rPr>
      </w:pPr>
      <w:r>
        <w:rPr>
          <w:rFonts w:hint="eastAsia"/>
          <w:lang w:val="en-US" w:eastAsia="zh-CN"/>
        </w:rPr>
        <w:t>交通标志</w:t>
      </w:r>
    </w:p>
    <w:p w14:paraId="78D08A39">
      <w:pPr>
        <w:pStyle w:val="4"/>
        <w:bidi w:val="0"/>
        <w:ind w:left="720" w:leftChars="0" w:hanging="720" w:firstLineChars="0"/>
        <w:rPr>
          <w:rFonts w:hint="eastAsia"/>
        </w:rPr>
      </w:pPr>
      <w:r>
        <w:rPr>
          <w:rFonts w:hint="eastAsia"/>
        </w:rPr>
        <w:t>设计原则</w:t>
      </w:r>
    </w:p>
    <w:p w14:paraId="51813831">
      <w:pPr>
        <w:spacing w:line="360" w:lineRule="auto"/>
        <w:ind w:firstLine="480" w:firstLineChars="200"/>
        <w:rPr>
          <w:rFonts w:hint="eastAsia" w:ascii="宋体" w:hAnsi="宋体"/>
          <w:sz w:val="24"/>
          <w:szCs w:val="24"/>
        </w:rPr>
      </w:pPr>
      <w:r>
        <w:rPr>
          <w:rFonts w:hint="eastAsia" w:ascii="宋体" w:hAnsi="宋体"/>
          <w:sz w:val="24"/>
          <w:szCs w:val="24"/>
        </w:rPr>
        <w:t xml:space="preserve">设置交通标志，意过对驾驶员适时、准确的诱导，充分发挥道路快速、舒适、安全的效能；道路全线应采用统一的设置标准、版面规格，在特殊情况下，交通标志的设置位置与统一性发生矛盾时，应优先保证交通标志的可读性和视认性； </w:t>
      </w:r>
    </w:p>
    <w:p w14:paraId="40F0AA53">
      <w:pPr>
        <w:spacing w:line="360" w:lineRule="auto"/>
        <w:ind w:firstLine="480" w:firstLineChars="200"/>
        <w:rPr>
          <w:rFonts w:hint="eastAsia" w:ascii="宋体" w:hAnsi="宋体"/>
          <w:sz w:val="24"/>
          <w:szCs w:val="24"/>
        </w:rPr>
      </w:pPr>
      <w:r>
        <w:rPr>
          <w:rFonts w:hint="eastAsia" w:ascii="宋体" w:hAnsi="宋体"/>
          <w:sz w:val="24"/>
          <w:szCs w:val="24"/>
        </w:rPr>
        <w:t>本工程交通标志的设计主要以完全不熟悉本项目及周围路网体系的司机为对象，使其通过交通标志的引导，顺利、快捷、安全地抵达目的地，避免发生错误行使；同时交通标志的平面布设与其它系统协调配合，统一布局，形成一个整体体系，尽量做到完善、美观、适用。</w:t>
      </w:r>
    </w:p>
    <w:p w14:paraId="41DBD048">
      <w:pPr>
        <w:pStyle w:val="4"/>
        <w:bidi w:val="0"/>
        <w:ind w:left="720" w:leftChars="0" w:hanging="720" w:firstLineChars="0"/>
        <w:rPr>
          <w:rFonts w:hint="eastAsia"/>
        </w:rPr>
      </w:pPr>
      <w:r>
        <w:rPr>
          <w:rFonts w:hint="eastAsia"/>
        </w:rPr>
        <w:t>设计内容</w:t>
      </w:r>
    </w:p>
    <w:p w14:paraId="1BE964CE">
      <w:pPr>
        <w:spacing w:line="360" w:lineRule="auto"/>
        <w:ind w:firstLine="480" w:firstLineChars="200"/>
        <w:rPr>
          <w:rFonts w:hint="eastAsia" w:ascii="宋体" w:hAnsi="宋体"/>
          <w:sz w:val="24"/>
          <w:szCs w:val="24"/>
        </w:rPr>
      </w:pPr>
      <w:r>
        <w:rPr>
          <w:rFonts w:hint="eastAsia" w:ascii="宋体" w:hAnsi="宋体"/>
          <w:sz w:val="24"/>
          <w:szCs w:val="24"/>
        </w:rPr>
        <w:t>本路段交通标志共分三类：禁令标志、指示标志和指路标志，主要包括限速标志、指路标志等。标志颜色、形状、字符及设置位置按《道路交通标志标线》（GB5768-2009）执行。标志结构采用柱式、悬臂、附着式三种。</w:t>
      </w:r>
      <w:r>
        <w:rPr>
          <w:rFonts w:hint="eastAsia" w:ascii="宋体" w:hAnsi="宋体"/>
          <w:bCs/>
          <w:sz w:val="24"/>
          <w:szCs w:val="24"/>
        </w:rPr>
        <w:t>标志面板反光材料采用Ⅳ类反光膜。</w:t>
      </w:r>
      <w:r>
        <w:rPr>
          <w:rFonts w:hint="eastAsia" w:ascii="宋体" w:hAnsi="宋体"/>
          <w:sz w:val="24"/>
          <w:szCs w:val="24"/>
        </w:rPr>
        <w:t>标志版面采用中英文对照， 汉字高400mm，英文字母高度为汉字高的1/2布置。指路标志指示内容采用路线名称信息和地点名称信息结合的方式确定，蓝底白字符、图案，禁令标志按国标设计制作，标志结构设计抗风速22m/s。</w:t>
      </w:r>
    </w:p>
    <w:p w14:paraId="52B59425">
      <w:pPr>
        <w:pStyle w:val="4"/>
        <w:bidi w:val="0"/>
        <w:ind w:left="720" w:leftChars="0" w:hanging="720" w:firstLineChars="0"/>
        <w:rPr>
          <w:rFonts w:hint="eastAsia"/>
        </w:rPr>
      </w:pPr>
      <w:r>
        <w:rPr>
          <w:rFonts w:hint="eastAsia"/>
        </w:rPr>
        <w:t>材料规格</w:t>
      </w:r>
    </w:p>
    <w:p w14:paraId="5B1A0FB6">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标志立柱和横梁：凡立柱及横臂设计壁厚≥5mm时，须采用20＃无缝钢管，臂厚＜5mm时采用Q235焊管。并应符合《碳素结构钢》（GB/T 700-2006）的要求及《结构用无缝钢管》（GB/T 8162-2009）的规定。</w:t>
      </w:r>
    </w:p>
    <w:p w14:paraId="5D9B2D97">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标志板采用牌号为3003的铝合金板材，其抗拉强度应不小于95Mpa，并符合《道路交通标志版及支撑件》（GB/T23827-2009）的规定；标志版面大于4.5平方米的铝板厚度为3mm；标志版面1--4.5平方米的铝板厚度为2.5 mm；标志版面小于1平方米的铝板厚度为1.5mm，边缘应进行机制滚边（折边）处理。</w:t>
      </w:r>
    </w:p>
    <w:p w14:paraId="64FB822A">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滑动槽铝采用LC4铝合金挤压型材，并符合GB/T6892-2006《铝及铝合金挤压型材》及《道路交通标志版及支撑件》（GB/T23827-2009）的规定；</w:t>
      </w:r>
    </w:p>
    <w:p w14:paraId="383C5A83">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高强螺栓：高强连接螺栓和高强地脚螺栓（包括相应的螺母、垫圈）采用40B或45号钢（并镀锌），并符合GB1231-76的规定；</w:t>
      </w:r>
    </w:p>
    <w:p w14:paraId="45353914">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水泥混凝土基础材料：混凝土强度应不小于25Mpa；</w:t>
      </w:r>
    </w:p>
    <w:p w14:paraId="29F434AF">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钢筋采用热轧钢筋，并符合现行《公路钢筋混凝土及预应力混凝土桥涵设计规范》的有关规定；</w:t>
      </w:r>
    </w:p>
    <w:p w14:paraId="79E26574">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标志结构件中所有的钢构件（包括螺栓、螺母）均需热浸镀锌后再喷塑进行表面处理，所用锌应为《锌锭》（GB470-2008）中规定的0号或1号锌。其中，立柱、横梁、法兰盘的镀锌量为600g/m2，紧固件为350 g/m2，螺栓连接件在镀锌后应清理螺纹或作离心分离处理。镀锌工艺应符合《锌锭》（GB470-83）的要求，保证镀锌的厚度和均匀度，构件镀锌后，外表应整洁光泽，不得有明显的气泡、裂纹、疤痕、毛刺、端面分层等缺陷。立柱喷塑颜色为深灰（CD001），横臂颜色为浅灰（CD002）。标志板如附着于横臂，则背面喷塑颜色为深灰；如标志板附着于立柱，则背面喷塑颜色为浅灰。</w:t>
      </w:r>
    </w:p>
    <w:p w14:paraId="494F765E">
      <w:pPr>
        <w:numPr>
          <w:ilvl w:val="0"/>
          <w:numId w:val="2"/>
        </w:numPr>
        <w:spacing w:line="360" w:lineRule="auto"/>
        <w:ind w:left="0" w:leftChars="0" w:firstLine="454" w:firstLineChars="0"/>
        <w:rPr>
          <w:rFonts w:hint="eastAsia" w:ascii="宋体" w:hAnsi="宋体"/>
          <w:sz w:val="24"/>
          <w:szCs w:val="24"/>
        </w:rPr>
      </w:pPr>
      <w:r>
        <w:rPr>
          <w:rFonts w:hint="eastAsia" w:ascii="宋体" w:hAnsi="宋体"/>
          <w:sz w:val="24"/>
          <w:szCs w:val="24"/>
        </w:rPr>
        <w:t>反光膜：反光膜的光度性能、色度性能、抗冲击性能、耐弯曲性能、附着性能、收缩性能、防粘纸可剥离性能、抗拉荷载、耐溶剂性能、耐酸雾腐蚀性能、耐高低温性能、耐候性能等应符合交通行业标准《道路交通反光膜》GB/T 18833-2012的要求。本次设计采用IV类反光膜，其色度性能和逆反射性能要求如下：</w:t>
      </w:r>
    </w:p>
    <w:p w14:paraId="7B2A96C0">
      <w:pPr>
        <w:spacing w:line="360" w:lineRule="auto"/>
        <w:ind w:firstLine="480" w:firstLineChars="200"/>
        <w:rPr>
          <w:rFonts w:hint="eastAsia" w:ascii="宋体" w:hAnsi="宋体"/>
          <w:sz w:val="24"/>
          <w:szCs w:val="24"/>
        </w:rPr>
      </w:pPr>
      <w:r>
        <w:rPr>
          <w:rFonts w:hint="eastAsia" w:ascii="宋体" w:hAnsi="宋体"/>
          <w:sz w:val="24"/>
          <w:szCs w:val="24"/>
        </w:rPr>
        <w:t>色度性能：</w:t>
      </w:r>
    </w:p>
    <w:p w14:paraId="7A1CF5F1">
      <w:pPr>
        <w:spacing w:line="360" w:lineRule="auto"/>
        <w:ind w:firstLine="480" w:firstLineChars="200"/>
        <w:jc w:val="center"/>
        <w:rPr>
          <w:rFonts w:hint="eastAsia" w:ascii="宋体" w:hAnsi="宋体"/>
          <w:sz w:val="24"/>
          <w:szCs w:val="24"/>
        </w:rPr>
      </w:pPr>
      <w:r>
        <w:rPr>
          <w:rFonts w:hint="eastAsia" w:ascii="宋体" w:hAnsi="宋体"/>
          <w:sz w:val="24"/>
          <w:szCs w:val="24"/>
        </w:rPr>
        <w:t>反光膜颜色（昼间色）</w:t>
      </w:r>
    </w:p>
    <w:tbl>
      <w:tblPr>
        <w:tblStyle w:val="20"/>
        <w:tblW w:w="0" w:type="auto"/>
        <w:tblInd w:w="227" w:type="dxa"/>
        <w:tblLayout w:type="fixed"/>
        <w:tblCellMar>
          <w:top w:w="0" w:type="dxa"/>
          <w:left w:w="108" w:type="dxa"/>
          <w:bottom w:w="0" w:type="dxa"/>
          <w:right w:w="108" w:type="dxa"/>
        </w:tblCellMar>
      </w:tblPr>
      <w:tblGrid>
        <w:gridCol w:w="1202"/>
        <w:gridCol w:w="797"/>
        <w:gridCol w:w="800"/>
        <w:gridCol w:w="796"/>
        <w:gridCol w:w="800"/>
        <w:gridCol w:w="796"/>
        <w:gridCol w:w="802"/>
        <w:gridCol w:w="797"/>
        <w:gridCol w:w="804"/>
        <w:gridCol w:w="1418"/>
        <w:gridCol w:w="1477"/>
      </w:tblGrid>
      <w:tr w14:paraId="3F314E33">
        <w:tblPrEx>
          <w:tblCellMar>
            <w:top w:w="0" w:type="dxa"/>
            <w:left w:w="108" w:type="dxa"/>
            <w:bottom w:w="0" w:type="dxa"/>
            <w:right w:w="108" w:type="dxa"/>
          </w:tblCellMar>
        </w:tblPrEx>
        <w:trPr>
          <w:trHeight w:val="816" w:hRule="exact"/>
        </w:trPr>
        <w:tc>
          <w:tcPr>
            <w:tcW w:w="1202" w:type="dxa"/>
            <w:vMerge w:val="restart"/>
            <w:tcBorders>
              <w:top w:val="single" w:color="000000" w:sz="4" w:space="0"/>
              <w:left w:val="single" w:color="000000" w:sz="4" w:space="0"/>
              <w:bottom w:val="single" w:color="000000" w:sz="4" w:space="0"/>
              <w:right w:val="single" w:color="000000" w:sz="4" w:space="0"/>
            </w:tcBorders>
            <w:noWrap w:val="0"/>
            <w:vAlign w:val="center"/>
          </w:tcPr>
          <w:p w14:paraId="09C6163B">
            <w:pPr>
              <w:pStyle w:val="30"/>
              <w:bidi w:val="0"/>
              <w:rPr>
                <w:rFonts w:hint="eastAsia"/>
              </w:rPr>
            </w:pPr>
          </w:p>
          <w:p w14:paraId="73D6D77A">
            <w:pPr>
              <w:pStyle w:val="30"/>
              <w:bidi w:val="0"/>
              <w:rPr>
                <w:rFonts w:hint="eastAsia"/>
              </w:rPr>
            </w:pPr>
            <w:r>
              <w:rPr>
                <w:rFonts w:hint="eastAsia"/>
              </w:rPr>
              <w:t>颜色</w:t>
            </w:r>
          </w:p>
        </w:tc>
        <w:tc>
          <w:tcPr>
            <w:tcW w:w="6392" w:type="dxa"/>
            <w:gridSpan w:val="8"/>
            <w:tcBorders>
              <w:top w:val="single" w:color="000000" w:sz="4" w:space="0"/>
              <w:left w:val="single" w:color="000000" w:sz="4" w:space="0"/>
              <w:bottom w:val="single" w:color="000000" w:sz="4" w:space="0"/>
              <w:right w:val="single" w:color="000000" w:sz="4" w:space="0"/>
            </w:tcBorders>
            <w:noWrap w:val="0"/>
            <w:vAlign w:val="center"/>
          </w:tcPr>
          <w:p w14:paraId="09BEFB3D">
            <w:pPr>
              <w:pStyle w:val="30"/>
              <w:bidi w:val="0"/>
              <w:rPr>
                <w:rFonts w:hint="eastAsia"/>
              </w:rPr>
            </w:pPr>
            <w:r>
              <w:rPr>
                <w:rFonts w:hint="eastAsia"/>
              </w:rPr>
              <w:t>色品坐标（标准照明体 D65，几何条件 45°a：0°，2° 视场角）</w:t>
            </w:r>
          </w:p>
        </w:tc>
        <w:tc>
          <w:tcPr>
            <w:tcW w:w="2895" w:type="dxa"/>
            <w:gridSpan w:val="2"/>
            <w:tcBorders>
              <w:top w:val="single" w:color="000000" w:sz="4" w:space="0"/>
              <w:left w:val="single" w:color="000000" w:sz="4" w:space="0"/>
              <w:bottom w:val="single" w:color="000000" w:sz="4" w:space="0"/>
              <w:right w:val="single" w:color="000000" w:sz="4" w:space="0"/>
            </w:tcBorders>
            <w:noWrap w:val="0"/>
            <w:vAlign w:val="center"/>
          </w:tcPr>
          <w:p w14:paraId="74AB1DDD">
            <w:pPr>
              <w:pStyle w:val="30"/>
              <w:bidi w:val="0"/>
              <w:rPr>
                <w:rFonts w:hint="eastAsia"/>
              </w:rPr>
            </w:pPr>
            <w:r>
              <w:rPr>
                <w:rFonts w:hint="eastAsia"/>
              </w:rPr>
              <w:t>亮度因数</w:t>
            </w:r>
          </w:p>
        </w:tc>
      </w:tr>
      <w:tr w14:paraId="3622FAAA">
        <w:tblPrEx>
          <w:tblCellMar>
            <w:top w:w="0" w:type="dxa"/>
            <w:left w:w="108" w:type="dxa"/>
            <w:bottom w:w="0" w:type="dxa"/>
            <w:right w:w="108" w:type="dxa"/>
          </w:tblCellMar>
        </w:tblPrEx>
        <w:trPr>
          <w:trHeight w:val="382" w:hRule="exact"/>
        </w:trPr>
        <w:tc>
          <w:tcPr>
            <w:tcW w:w="12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9301C">
            <w:pPr>
              <w:pStyle w:val="30"/>
              <w:bidi w:val="0"/>
              <w:rPr>
                <w:rFonts w:hint="eastAsia"/>
              </w:rPr>
            </w:pPr>
          </w:p>
        </w:tc>
        <w:tc>
          <w:tcPr>
            <w:tcW w:w="1597" w:type="dxa"/>
            <w:gridSpan w:val="2"/>
            <w:tcBorders>
              <w:top w:val="single" w:color="000000" w:sz="4" w:space="0"/>
              <w:left w:val="single" w:color="000000" w:sz="4" w:space="0"/>
              <w:bottom w:val="single" w:color="000000" w:sz="4" w:space="0"/>
              <w:right w:val="single" w:color="000000" w:sz="4" w:space="0"/>
            </w:tcBorders>
            <w:noWrap w:val="0"/>
            <w:vAlign w:val="center"/>
          </w:tcPr>
          <w:p w14:paraId="6DBE2278">
            <w:pPr>
              <w:pStyle w:val="30"/>
              <w:bidi w:val="0"/>
              <w:rPr>
                <w:rFonts w:hint="eastAsia"/>
              </w:rPr>
            </w:pPr>
            <w:r>
              <w:rPr>
                <w:rFonts w:hint="eastAsia"/>
              </w:rPr>
              <w:t>1</w:t>
            </w:r>
          </w:p>
        </w:tc>
        <w:tc>
          <w:tcPr>
            <w:tcW w:w="1596" w:type="dxa"/>
            <w:gridSpan w:val="2"/>
            <w:tcBorders>
              <w:top w:val="single" w:color="000000" w:sz="4" w:space="0"/>
              <w:left w:val="single" w:color="000000" w:sz="4" w:space="0"/>
              <w:bottom w:val="single" w:color="000000" w:sz="4" w:space="0"/>
              <w:right w:val="single" w:color="000000" w:sz="4" w:space="0"/>
            </w:tcBorders>
            <w:noWrap w:val="0"/>
            <w:vAlign w:val="center"/>
          </w:tcPr>
          <w:p w14:paraId="1C973710">
            <w:pPr>
              <w:pStyle w:val="30"/>
              <w:bidi w:val="0"/>
              <w:rPr>
                <w:rFonts w:hint="eastAsia"/>
              </w:rPr>
            </w:pPr>
            <w:r>
              <w:rPr>
                <w:rFonts w:hint="eastAsia"/>
              </w:rPr>
              <w:t>2</w:t>
            </w:r>
          </w:p>
        </w:tc>
        <w:tc>
          <w:tcPr>
            <w:tcW w:w="1598" w:type="dxa"/>
            <w:gridSpan w:val="2"/>
            <w:tcBorders>
              <w:top w:val="single" w:color="000000" w:sz="4" w:space="0"/>
              <w:left w:val="single" w:color="000000" w:sz="4" w:space="0"/>
              <w:bottom w:val="single" w:color="000000" w:sz="4" w:space="0"/>
              <w:right w:val="single" w:color="000000" w:sz="4" w:space="0"/>
            </w:tcBorders>
            <w:noWrap w:val="0"/>
            <w:vAlign w:val="center"/>
          </w:tcPr>
          <w:p w14:paraId="35A24078">
            <w:pPr>
              <w:pStyle w:val="30"/>
              <w:bidi w:val="0"/>
              <w:rPr>
                <w:rFonts w:hint="eastAsia"/>
              </w:rPr>
            </w:pPr>
            <w:r>
              <w:rPr>
                <w:rFonts w:hint="eastAsia"/>
              </w:rPr>
              <w:t>3</w:t>
            </w:r>
          </w:p>
        </w:tc>
        <w:tc>
          <w:tcPr>
            <w:tcW w:w="1601" w:type="dxa"/>
            <w:gridSpan w:val="2"/>
            <w:tcBorders>
              <w:top w:val="single" w:color="000000" w:sz="4" w:space="0"/>
              <w:left w:val="single" w:color="000000" w:sz="4" w:space="0"/>
              <w:bottom w:val="single" w:color="000000" w:sz="4" w:space="0"/>
              <w:right w:val="single" w:color="000000" w:sz="4" w:space="0"/>
            </w:tcBorders>
            <w:noWrap w:val="0"/>
            <w:vAlign w:val="center"/>
          </w:tcPr>
          <w:p w14:paraId="7AF60449">
            <w:pPr>
              <w:pStyle w:val="30"/>
              <w:bidi w:val="0"/>
              <w:rPr>
                <w:rFonts w:hint="eastAsia"/>
              </w:rPr>
            </w:pPr>
            <w:r>
              <w:rPr>
                <w:rFonts w:hint="eastAsia"/>
              </w:rPr>
              <w:t>4</w:t>
            </w:r>
          </w:p>
        </w:tc>
        <w:tc>
          <w:tcPr>
            <w:tcW w:w="1418" w:type="dxa"/>
            <w:vMerge w:val="restart"/>
            <w:tcBorders>
              <w:top w:val="single" w:color="000000" w:sz="4" w:space="0"/>
              <w:left w:val="single" w:color="000000" w:sz="4" w:space="0"/>
              <w:bottom w:val="single" w:color="000000" w:sz="4" w:space="0"/>
              <w:right w:val="single" w:color="000000" w:sz="4" w:space="0"/>
            </w:tcBorders>
            <w:noWrap w:val="0"/>
            <w:vAlign w:val="center"/>
          </w:tcPr>
          <w:p w14:paraId="3720B888">
            <w:pPr>
              <w:pStyle w:val="30"/>
              <w:bidi w:val="0"/>
              <w:rPr>
                <w:rFonts w:hint="eastAsia"/>
              </w:rPr>
            </w:pPr>
            <w:r>
              <w:rPr>
                <w:rFonts w:hint="eastAsia"/>
              </w:rPr>
              <w:t>无金属镀</w:t>
            </w:r>
          </w:p>
          <w:p w14:paraId="547D0B63">
            <w:pPr>
              <w:pStyle w:val="30"/>
              <w:bidi w:val="0"/>
              <w:rPr>
                <w:rFonts w:hint="eastAsia"/>
              </w:rPr>
            </w:pPr>
            <w:r>
              <w:rPr>
                <w:rFonts w:hint="eastAsia"/>
              </w:rPr>
              <w:t>层</w:t>
            </w:r>
          </w:p>
        </w:tc>
        <w:tc>
          <w:tcPr>
            <w:tcW w:w="1477" w:type="dxa"/>
            <w:vMerge w:val="restart"/>
            <w:tcBorders>
              <w:top w:val="single" w:color="000000" w:sz="4" w:space="0"/>
              <w:left w:val="single" w:color="000000" w:sz="4" w:space="0"/>
              <w:bottom w:val="single" w:color="000000" w:sz="4" w:space="0"/>
              <w:right w:val="single" w:color="000000" w:sz="4" w:space="0"/>
            </w:tcBorders>
            <w:noWrap w:val="0"/>
            <w:vAlign w:val="center"/>
          </w:tcPr>
          <w:p w14:paraId="582658C5">
            <w:pPr>
              <w:pStyle w:val="30"/>
              <w:bidi w:val="0"/>
              <w:rPr>
                <w:rFonts w:hint="eastAsia"/>
              </w:rPr>
            </w:pPr>
            <w:r>
              <w:rPr>
                <w:rFonts w:hint="eastAsia"/>
              </w:rPr>
              <w:t>有金属镀层</w:t>
            </w:r>
          </w:p>
        </w:tc>
      </w:tr>
      <w:tr w14:paraId="59FE1357">
        <w:tblPrEx>
          <w:tblCellMar>
            <w:top w:w="0" w:type="dxa"/>
            <w:left w:w="108" w:type="dxa"/>
            <w:bottom w:w="0" w:type="dxa"/>
            <w:right w:w="108" w:type="dxa"/>
          </w:tblCellMar>
        </w:tblPrEx>
        <w:trPr>
          <w:trHeight w:val="398" w:hRule="exact"/>
        </w:trPr>
        <w:tc>
          <w:tcPr>
            <w:tcW w:w="12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338B83">
            <w:pPr>
              <w:pStyle w:val="30"/>
              <w:bidi w:val="0"/>
              <w:rPr>
                <w:rFonts w:hint="eastAsia"/>
              </w:rPr>
            </w:pP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7B310D93">
            <w:pPr>
              <w:pStyle w:val="30"/>
              <w:bidi w:val="0"/>
              <w:rPr>
                <w:rFonts w:hint="eastAsia"/>
              </w:rPr>
            </w:pPr>
            <w:r>
              <w:rPr>
                <w:rFonts w:hint="eastAsia"/>
              </w:rPr>
              <w:t>x</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7D1EAB50">
            <w:pPr>
              <w:pStyle w:val="30"/>
              <w:bidi w:val="0"/>
              <w:rPr>
                <w:rFonts w:hint="eastAsia"/>
              </w:rPr>
            </w:pPr>
            <w:r>
              <w:rPr>
                <w:rFonts w:hint="eastAsia"/>
              </w:rPr>
              <w:t>y</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2DA815BA">
            <w:pPr>
              <w:pStyle w:val="30"/>
              <w:bidi w:val="0"/>
              <w:rPr>
                <w:rFonts w:hint="eastAsia"/>
              </w:rPr>
            </w:pPr>
            <w:r>
              <w:rPr>
                <w:rFonts w:hint="eastAsia"/>
              </w:rPr>
              <w:t>x</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D9207DA">
            <w:pPr>
              <w:pStyle w:val="30"/>
              <w:bidi w:val="0"/>
              <w:rPr>
                <w:rFonts w:hint="eastAsia"/>
              </w:rPr>
            </w:pPr>
            <w:r>
              <w:rPr>
                <w:rFonts w:hint="eastAsia"/>
              </w:rPr>
              <w:t>y</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CC1CC49">
            <w:pPr>
              <w:pStyle w:val="30"/>
              <w:bidi w:val="0"/>
              <w:rPr>
                <w:rFonts w:hint="eastAsia"/>
              </w:rPr>
            </w:pPr>
            <w:r>
              <w:rPr>
                <w:rFonts w:hint="eastAsia"/>
              </w:rPr>
              <w:t>x</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7A47D2FC">
            <w:pPr>
              <w:pStyle w:val="30"/>
              <w:bidi w:val="0"/>
              <w:rPr>
                <w:rFonts w:hint="eastAsia"/>
              </w:rPr>
            </w:pPr>
            <w:r>
              <w:rPr>
                <w:rFonts w:hint="eastAsia"/>
              </w:rPr>
              <w:t>y</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03160C8">
            <w:pPr>
              <w:pStyle w:val="30"/>
              <w:bidi w:val="0"/>
              <w:rPr>
                <w:rFonts w:hint="eastAsia"/>
              </w:rPr>
            </w:pPr>
            <w:r>
              <w:rPr>
                <w:rFonts w:hint="eastAsia"/>
              </w:rPr>
              <w:t>x</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74FE48C2">
            <w:pPr>
              <w:pStyle w:val="30"/>
              <w:bidi w:val="0"/>
              <w:rPr>
                <w:rFonts w:hint="eastAsia"/>
              </w:rPr>
            </w:pPr>
            <w:r>
              <w:rPr>
                <w:rFonts w:hint="eastAsia"/>
              </w:rPr>
              <w:t>y</w:t>
            </w:r>
          </w:p>
        </w:tc>
        <w:tc>
          <w:tcPr>
            <w:tcW w:w="14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64B9CC">
            <w:pPr>
              <w:pStyle w:val="30"/>
              <w:bidi w:val="0"/>
              <w:rPr>
                <w:rFonts w:hint="eastAsia"/>
              </w:rPr>
            </w:pPr>
          </w:p>
        </w:tc>
        <w:tc>
          <w:tcPr>
            <w:tcW w:w="147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1BCA74">
            <w:pPr>
              <w:pStyle w:val="30"/>
              <w:bidi w:val="0"/>
              <w:rPr>
                <w:rFonts w:hint="eastAsia"/>
              </w:rPr>
            </w:pPr>
          </w:p>
        </w:tc>
      </w:tr>
      <w:tr w14:paraId="4CFDCBFD">
        <w:tblPrEx>
          <w:tblCellMar>
            <w:top w:w="0" w:type="dxa"/>
            <w:left w:w="108" w:type="dxa"/>
            <w:bottom w:w="0" w:type="dxa"/>
            <w:right w:w="108" w:type="dxa"/>
          </w:tblCellMar>
        </w:tblPrEx>
        <w:trPr>
          <w:trHeight w:val="39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14:paraId="655A04AB">
            <w:pPr>
              <w:pStyle w:val="30"/>
              <w:bidi w:val="0"/>
              <w:rPr>
                <w:rFonts w:hint="eastAsia"/>
              </w:rPr>
            </w:pPr>
            <w:r>
              <w:rPr>
                <w:rFonts w:hint="eastAsia"/>
              </w:rPr>
              <w:t>白</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797F3318">
            <w:pPr>
              <w:pStyle w:val="30"/>
              <w:bidi w:val="0"/>
              <w:rPr>
                <w:rFonts w:hint="eastAsia"/>
              </w:rPr>
            </w:pPr>
            <w:r>
              <w:rPr>
                <w:rFonts w:hint="eastAsia"/>
              </w:rPr>
              <w:t>0.350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031680A">
            <w:pPr>
              <w:pStyle w:val="30"/>
              <w:bidi w:val="0"/>
              <w:rPr>
                <w:rFonts w:hint="eastAsia"/>
              </w:rPr>
            </w:pPr>
            <w:r>
              <w:rPr>
                <w:rFonts w:hint="eastAsia"/>
              </w:rPr>
              <w:t>0.360</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D13EE1F">
            <w:pPr>
              <w:pStyle w:val="30"/>
              <w:bidi w:val="0"/>
              <w:rPr>
                <w:rFonts w:hint="eastAsia"/>
              </w:rPr>
            </w:pPr>
            <w:r>
              <w:rPr>
                <w:rFonts w:hint="eastAsia"/>
              </w:rPr>
              <w:t>0.305</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3129EF8">
            <w:pPr>
              <w:pStyle w:val="30"/>
              <w:bidi w:val="0"/>
              <w:rPr>
                <w:rFonts w:hint="eastAsia"/>
              </w:rPr>
            </w:pPr>
            <w:r>
              <w:rPr>
                <w:rFonts w:hint="eastAsia"/>
              </w:rPr>
              <w:t>0.315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46BED964">
            <w:pPr>
              <w:pStyle w:val="30"/>
              <w:bidi w:val="0"/>
              <w:rPr>
                <w:rFonts w:hint="eastAsia"/>
              </w:rPr>
            </w:pPr>
            <w:r>
              <w:rPr>
                <w:rFonts w:hint="eastAsia"/>
              </w:rPr>
              <w:t>0.295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472A20D">
            <w:pPr>
              <w:pStyle w:val="30"/>
              <w:bidi w:val="0"/>
              <w:rPr>
                <w:rFonts w:hint="eastAsia"/>
              </w:rPr>
            </w:pPr>
            <w:r>
              <w:rPr>
                <w:rFonts w:hint="eastAsia"/>
              </w:rPr>
              <w:t>0.325</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34CFC9EE">
            <w:pPr>
              <w:pStyle w:val="30"/>
              <w:bidi w:val="0"/>
              <w:rPr>
                <w:rFonts w:hint="eastAsia"/>
              </w:rPr>
            </w:pPr>
            <w:r>
              <w:rPr>
                <w:rFonts w:hint="eastAsia"/>
              </w:rPr>
              <w:t>0.340</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757CEFDD">
            <w:pPr>
              <w:pStyle w:val="30"/>
              <w:bidi w:val="0"/>
              <w:rPr>
                <w:rFonts w:hint="eastAsia"/>
              </w:rPr>
            </w:pPr>
            <w:r>
              <w:rPr>
                <w:rFonts w:hint="eastAsia"/>
              </w:rPr>
              <w:t>0.370</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14B38ADA">
            <w:pPr>
              <w:pStyle w:val="30"/>
              <w:bidi w:val="0"/>
              <w:rPr>
                <w:rFonts w:hint="eastAsia"/>
              </w:rPr>
            </w:pPr>
            <w:r>
              <w:rPr>
                <w:rFonts w:hint="eastAsia"/>
              </w:rPr>
              <w:t>≥0.27</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41BEB395">
            <w:pPr>
              <w:pStyle w:val="30"/>
              <w:bidi w:val="0"/>
              <w:rPr>
                <w:rFonts w:hint="eastAsia"/>
              </w:rPr>
            </w:pPr>
            <w:r>
              <w:rPr>
                <w:rFonts w:hint="eastAsia"/>
              </w:rPr>
              <w:t>≥0.15</w:t>
            </w:r>
          </w:p>
        </w:tc>
      </w:tr>
      <w:tr w14:paraId="4FEFE33A">
        <w:tblPrEx>
          <w:tblCellMar>
            <w:top w:w="0" w:type="dxa"/>
            <w:left w:w="108" w:type="dxa"/>
            <w:bottom w:w="0" w:type="dxa"/>
            <w:right w:w="108" w:type="dxa"/>
          </w:tblCellMar>
        </w:tblPrEx>
        <w:trPr>
          <w:trHeight w:val="394"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14:paraId="3B761185">
            <w:pPr>
              <w:pStyle w:val="30"/>
              <w:bidi w:val="0"/>
              <w:rPr>
                <w:rFonts w:hint="eastAsia"/>
              </w:rPr>
            </w:pPr>
            <w:r>
              <w:rPr>
                <w:rFonts w:hint="eastAsia"/>
              </w:rPr>
              <w:t>黄</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038422AF">
            <w:pPr>
              <w:pStyle w:val="30"/>
              <w:bidi w:val="0"/>
              <w:rPr>
                <w:rFonts w:hint="eastAsia"/>
              </w:rPr>
            </w:pPr>
            <w:r>
              <w:rPr>
                <w:rFonts w:hint="eastAsia"/>
              </w:rPr>
              <w:t>0.545</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7CA7716E">
            <w:pPr>
              <w:pStyle w:val="30"/>
              <w:bidi w:val="0"/>
              <w:rPr>
                <w:rFonts w:hint="eastAsia"/>
              </w:rPr>
            </w:pPr>
            <w:r>
              <w:rPr>
                <w:rFonts w:hint="eastAsia"/>
              </w:rPr>
              <w:t>0.454</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BF670B9">
            <w:pPr>
              <w:pStyle w:val="30"/>
              <w:bidi w:val="0"/>
              <w:rPr>
                <w:rFonts w:hint="eastAsia"/>
              </w:rPr>
            </w:pPr>
            <w:r>
              <w:rPr>
                <w:rFonts w:hint="eastAsia"/>
              </w:rPr>
              <w:t>0.494</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7575C6AF">
            <w:pPr>
              <w:pStyle w:val="30"/>
              <w:bidi w:val="0"/>
              <w:rPr>
                <w:rFonts w:hint="eastAsia"/>
              </w:rPr>
            </w:pPr>
            <w:r>
              <w:rPr>
                <w:rFonts w:hint="eastAsia"/>
              </w:rPr>
              <w:t>0.426</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3051DEB">
            <w:pPr>
              <w:pStyle w:val="30"/>
              <w:bidi w:val="0"/>
              <w:rPr>
                <w:rFonts w:hint="eastAsia"/>
              </w:rPr>
            </w:pPr>
            <w:r>
              <w:rPr>
                <w:rFonts w:hint="eastAsia"/>
              </w:rPr>
              <w:t>0.444</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809F546">
            <w:pPr>
              <w:pStyle w:val="30"/>
              <w:bidi w:val="0"/>
              <w:rPr>
                <w:rFonts w:hint="eastAsia"/>
              </w:rPr>
            </w:pPr>
            <w:r>
              <w:rPr>
                <w:rFonts w:hint="eastAsia"/>
              </w:rPr>
              <w:t>0.476</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448F0AA4">
            <w:pPr>
              <w:pStyle w:val="30"/>
              <w:bidi w:val="0"/>
              <w:rPr>
                <w:rFonts w:hint="eastAsia"/>
              </w:rPr>
            </w:pPr>
            <w:r>
              <w:rPr>
                <w:rFonts w:hint="eastAsia"/>
              </w:rPr>
              <w:t>0.481</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7F3E856E">
            <w:pPr>
              <w:pStyle w:val="30"/>
              <w:bidi w:val="0"/>
              <w:rPr>
                <w:rFonts w:hint="eastAsia"/>
              </w:rPr>
            </w:pPr>
            <w:r>
              <w:rPr>
                <w:rFonts w:hint="eastAsia"/>
              </w:rPr>
              <w:t>0.518</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59C249F3">
            <w:pPr>
              <w:pStyle w:val="30"/>
              <w:bidi w:val="0"/>
              <w:rPr>
                <w:rFonts w:hint="eastAsia"/>
              </w:rPr>
            </w:pPr>
            <w:r>
              <w:rPr>
                <w:rFonts w:hint="eastAsia"/>
              </w:rPr>
              <w:t>0.15～0.45</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189B897C">
            <w:pPr>
              <w:pStyle w:val="30"/>
              <w:bidi w:val="0"/>
              <w:rPr>
                <w:rFonts w:hint="eastAsia"/>
              </w:rPr>
            </w:pPr>
            <w:r>
              <w:rPr>
                <w:rFonts w:hint="eastAsia"/>
              </w:rPr>
              <w:t>0.12～0.30</w:t>
            </w:r>
          </w:p>
        </w:tc>
      </w:tr>
      <w:tr w14:paraId="1DCC6D61">
        <w:tblPrEx>
          <w:tblCellMar>
            <w:top w:w="0" w:type="dxa"/>
            <w:left w:w="108" w:type="dxa"/>
            <w:bottom w:w="0" w:type="dxa"/>
            <w:right w:w="108" w:type="dxa"/>
          </w:tblCellMar>
        </w:tblPrEx>
        <w:trPr>
          <w:trHeight w:val="39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14:paraId="0036B4A6">
            <w:pPr>
              <w:pStyle w:val="30"/>
              <w:bidi w:val="0"/>
              <w:rPr>
                <w:rFonts w:hint="eastAsia"/>
              </w:rPr>
            </w:pPr>
            <w:r>
              <w:rPr>
                <w:rFonts w:hint="eastAsia"/>
              </w:rPr>
              <w:t>橙</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56D8398">
            <w:pPr>
              <w:pStyle w:val="30"/>
              <w:bidi w:val="0"/>
              <w:rPr>
                <w:rFonts w:hint="eastAsia"/>
              </w:rPr>
            </w:pPr>
            <w:r>
              <w:rPr>
                <w:rFonts w:hint="eastAsia"/>
              </w:rPr>
              <w:t>0.558</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C7CD55F">
            <w:pPr>
              <w:pStyle w:val="30"/>
              <w:bidi w:val="0"/>
              <w:rPr>
                <w:rFonts w:hint="eastAsia"/>
              </w:rPr>
            </w:pPr>
            <w:r>
              <w:rPr>
                <w:rFonts w:hint="eastAsia"/>
              </w:rPr>
              <w:t>0.352</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CAE2B3A">
            <w:pPr>
              <w:pStyle w:val="30"/>
              <w:bidi w:val="0"/>
              <w:rPr>
                <w:rFonts w:hint="eastAsia"/>
              </w:rPr>
            </w:pPr>
            <w:r>
              <w:rPr>
                <w:rFonts w:hint="eastAsia"/>
              </w:rPr>
              <w:t>0.636</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756E198">
            <w:pPr>
              <w:pStyle w:val="30"/>
              <w:bidi w:val="0"/>
              <w:rPr>
                <w:rFonts w:hint="eastAsia"/>
              </w:rPr>
            </w:pPr>
            <w:r>
              <w:rPr>
                <w:rFonts w:hint="eastAsia"/>
              </w:rPr>
              <w:t>0.364</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9700223">
            <w:pPr>
              <w:pStyle w:val="30"/>
              <w:bidi w:val="0"/>
              <w:rPr>
                <w:rFonts w:hint="eastAsia"/>
              </w:rPr>
            </w:pPr>
            <w:r>
              <w:rPr>
                <w:rFonts w:hint="eastAsia"/>
              </w:rPr>
              <w:t>0.570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A1421BB">
            <w:pPr>
              <w:pStyle w:val="30"/>
              <w:bidi w:val="0"/>
              <w:rPr>
                <w:rFonts w:hint="eastAsia"/>
              </w:rPr>
            </w:pPr>
            <w:r>
              <w:rPr>
                <w:rFonts w:hint="eastAsia"/>
              </w:rPr>
              <w:t>0.429</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48026C38">
            <w:pPr>
              <w:pStyle w:val="30"/>
              <w:bidi w:val="0"/>
              <w:rPr>
                <w:rFonts w:hint="eastAsia"/>
              </w:rPr>
            </w:pPr>
            <w:r>
              <w:rPr>
                <w:rFonts w:hint="eastAsia"/>
              </w:rPr>
              <w:t>0.506</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30F7F561">
            <w:pPr>
              <w:pStyle w:val="30"/>
              <w:bidi w:val="0"/>
              <w:rPr>
                <w:rFonts w:hint="eastAsia"/>
              </w:rPr>
            </w:pPr>
            <w:r>
              <w:rPr>
                <w:rFonts w:hint="eastAsia"/>
              </w:rPr>
              <w:t>0.404</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0C5EB002">
            <w:pPr>
              <w:pStyle w:val="30"/>
              <w:bidi w:val="0"/>
              <w:rPr>
                <w:rFonts w:hint="eastAsia"/>
              </w:rPr>
            </w:pPr>
            <w:r>
              <w:rPr>
                <w:rFonts w:hint="eastAsia"/>
              </w:rPr>
              <w:t>0.10～0.30</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4CF9CDFC">
            <w:pPr>
              <w:pStyle w:val="30"/>
              <w:bidi w:val="0"/>
              <w:rPr>
                <w:rFonts w:hint="eastAsia"/>
              </w:rPr>
            </w:pPr>
            <w:r>
              <w:rPr>
                <w:rFonts w:hint="eastAsia"/>
              </w:rPr>
              <w:t>0.07～0.25</w:t>
            </w:r>
          </w:p>
        </w:tc>
      </w:tr>
      <w:tr w14:paraId="7A2DA180">
        <w:tblPrEx>
          <w:tblCellMar>
            <w:top w:w="0" w:type="dxa"/>
            <w:left w:w="108" w:type="dxa"/>
            <w:bottom w:w="0" w:type="dxa"/>
            <w:right w:w="108" w:type="dxa"/>
          </w:tblCellMar>
        </w:tblPrEx>
        <w:trPr>
          <w:trHeight w:val="39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14:paraId="2705EB1D">
            <w:pPr>
              <w:pStyle w:val="30"/>
              <w:bidi w:val="0"/>
              <w:rPr>
                <w:rFonts w:hint="eastAsia"/>
              </w:rPr>
            </w:pPr>
            <w:r>
              <w:rPr>
                <w:rFonts w:hint="eastAsia"/>
              </w:rPr>
              <w:t>红</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3D624CE0">
            <w:pPr>
              <w:pStyle w:val="30"/>
              <w:bidi w:val="0"/>
              <w:rPr>
                <w:rFonts w:hint="eastAsia"/>
              </w:rPr>
            </w:pPr>
            <w:r>
              <w:rPr>
                <w:rFonts w:hint="eastAsia"/>
              </w:rPr>
              <w:t>0.735</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39B35E6">
            <w:pPr>
              <w:pStyle w:val="30"/>
              <w:bidi w:val="0"/>
              <w:rPr>
                <w:rFonts w:hint="eastAsia"/>
              </w:rPr>
            </w:pPr>
            <w:r>
              <w:rPr>
                <w:rFonts w:hint="eastAsia"/>
              </w:rPr>
              <w:t>0.265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22935F1">
            <w:pPr>
              <w:pStyle w:val="30"/>
              <w:bidi w:val="0"/>
              <w:rPr>
                <w:rFonts w:hint="eastAsia"/>
              </w:rPr>
            </w:pPr>
            <w:r>
              <w:rPr>
                <w:rFonts w:hint="eastAsia"/>
              </w:rPr>
              <w:t>0.681</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9611FD0">
            <w:pPr>
              <w:pStyle w:val="30"/>
              <w:bidi w:val="0"/>
              <w:rPr>
                <w:rFonts w:hint="eastAsia"/>
              </w:rPr>
            </w:pPr>
            <w:r>
              <w:rPr>
                <w:rFonts w:hint="eastAsia"/>
              </w:rPr>
              <w:t>0.239</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C7826AE">
            <w:pPr>
              <w:pStyle w:val="30"/>
              <w:bidi w:val="0"/>
              <w:rPr>
                <w:rFonts w:hint="eastAsia"/>
              </w:rPr>
            </w:pPr>
            <w:r>
              <w:rPr>
                <w:rFonts w:hint="eastAsia"/>
              </w:rPr>
              <w:t>0.579</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6D8A695">
            <w:pPr>
              <w:pStyle w:val="30"/>
              <w:bidi w:val="0"/>
              <w:rPr>
                <w:rFonts w:hint="eastAsia"/>
              </w:rPr>
            </w:pPr>
            <w:r>
              <w:rPr>
                <w:rFonts w:hint="eastAsia"/>
              </w:rPr>
              <w:t>0.341</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102B854B">
            <w:pPr>
              <w:pStyle w:val="30"/>
              <w:bidi w:val="0"/>
              <w:rPr>
                <w:rFonts w:hint="eastAsia"/>
              </w:rPr>
            </w:pPr>
            <w:r>
              <w:rPr>
                <w:rFonts w:hint="eastAsia"/>
              </w:rPr>
              <w:t>0.655</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24B8D7FC">
            <w:pPr>
              <w:pStyle w:val="30"/>
              <w:bidi w:val="0"/>
              <w:rPr>
                <w:rFonts w:hint="eastAsia"/>
              </w:rPr>
            </w:pPr>
            <w:r>
              <w:rPr>
                <w:rFonts w:hint="eastAsia"/>
              </w:rPr>
              <w:t>0.345</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64BFE978">
            <w:pPr>
              <w:pStyle w:val="30"/>
              <w:bidi w:val="0"/>
              <w:rPr>
                <w:rFonts w:hint="eastAsia"/>
              </w:rPr>
            </w:pPr>
            <w:r>
              <w:rPr>
                <w:rFonts w:hint="eastAsia"/>
              </w:rPr>
              <w:t>0.02～0.15</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6D2FFE5C">
            <w:pPr>
              <w:pStyle w:val="30"/>
              <w:bidi w:val="0"/>
              <w:rPr>
                <w:rFonts w:hint="eastAsia"/>
              </w:rPr>
            </w:pPr>
            <w:r>
              <w:rPr>
                <w:rFonts w:hint="eastAsia"/>
              </w:rPr>
              <w:t>0.02～0.11</w:t>
            </w:r>
          </w:p>
        </w:tc>
      </w:tr>
      <w:tr w14:paraId="535E4F59">
        <w:tblPrEx>
          <w:tblCellMar>
            <w:top w:w="0" w:type="dxa"/>
            <w:left w:w="108" w:type="dxa"/>
            <w:bottom w:w="0" w:type="dxa"/>
            <w:right w:w="108" w:type="dxa"/>
          </w:tblCellMar>
        </w:tblPrEx>
        <w:trPr>
          <w:trHeight w:val="39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14:paraId="6939697B">
            <w:pPr>
              <w:pStyle w:val="30"/>
              <w:bidi w:val="0"/>
              <w:rPr>
                <w:rFonts w:hint="eastAsia"/>
              </w:rPr>
            </w:pPr>
            <w:r>
              <w:rPr>
                <w:rFonts w:hint="eastAsia"/>
              </w:rPr>
              <w:t>绿</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24064581">
            <w:pPr>
              <w:pStyle w:val="30"/>
              <w:bidi w:val="0"/>
              <w:rPr>
                <w:rFonts w:hint="eastAsia"/>
              </w:rPr>
            </w:pPr>
            <w:r>
              <w:rPr>
                <w:rFonts w:hint="eastAsia"/>
              </w:rPr>
              <w:t>0.201</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61EA473">
            <w:pPr>
              <w:pStyle w:val="30"/>
              <w:bidi w:val="0"/>
              <w:rPr>
                <w:rFonts w:hint="eastAsia"/>
              </w:rPr>
            </w:pPr>
            <w:r>
              <w:rPr>
                <w:rFonts w:hint="eastAsia"/>
              </w:rPr>
              <w:t>0.776</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9C239F5">
            <w:pPr>
              <w:pStyle w:val="30"/>
              <w:bidi w:val="0"/>
              <w:rPr>
                <w:rFonts w:hint="eastAsia"/>
              </w:rPr>
            </w:pPr>
            <w:r>
              <w:rPr>
                <w:rFonts w:hint="eastAsia"/>
              </w:rPr>
              <w:t>0.285</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3157CF8">
            <w:pPr>
              <w:pStyle w:val="30"/>
              <w:bidi w:val="0"/>
              <w:rPr>
                <w:rFonts w:hint="eastAsia"/>
              </w:rPr>
            </w:pPr>
            <w:r>
              <w:rPr>
                <w:rFonts w:hint="eastAsia"/>
              </w:rPr>
              <w:t>0.441</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B613AEF">
            <w:pPr>
              <w:pStyle w:val="30"/>
              <w:bidi w:val="0"/>
              <w:rPr>
                <w:rFonts w:hint="eastAsia"/>
              </w:rPr>
            </w:pPr>
            <w:r>
              <w:rPr>
                <w:rFonts w:hint="eastAsia"/>
              </w:rPr>
              <w:t>0.170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668E7ED">
            <w:pPr>
              <w:pStyle w:val="30"/>
              <w:bidi w:val="0"/>
              <w:rPr>
                <w:rFonts w:hint="eastAsia"/>
              </w:rPr>
            </w:pPr>
            <w:r>
              <w:rPr>
                <w:rFonts w:hint="eastAsia"/>
              </w:rPr>
              <w:t>0.364</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7690E98C">
            <w:pPr>
              <w:pStyle w:val="30"/>
              <w:bidi w:val="0"/>
              <w:rPr>
                <w:rFonts w:hint="eastAsia"/>
              </w:rPr>
            </w:pPr>
            <w:r>
              <w:rPr>
                <w:rFonts w:hint="eastAsia"/>
              </w:rPr>
              <w:t>0.026</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4DC87B83">
            <w:pPr>
              <w:pStyle w:val="30"/>
              <w:bidi w:val="0"/>
              <w:rPr>
                <w:rFonts w:hint="eastAsia"/>
              </w:rPr>
            </w:pPr>
            <w:r>
              <w:rPr>
                <w:rFonts w:hint="eastAsia"/>
              </w:rPr>
              <w:t>0.399</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74B6F483">
            <w:pPr>
              <w:pStyle w:val="30"/>
              <w:bidi w:val="0"/>
              <w:rPr>
                <w:rFonts w:hint="eastAsia"/>
              </w:rPr>
            </w:pPr>
            <w:r>
              <w:rPr>
                <w:rFonts w:hint="eastAsia"/>
              </w:rPr>
              <w:t>0.03～0.12</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7323EC83">
            <w:pPr>
              <w:pStyle w:val="30"/>
              <w:bidi w:val="0"/>
              <w:rPr>
                <w:rFonts w:hint="eastAsia"/>
              </w:rPr>
            </w:pPr>
            <w:r>
              <w:rPr>
                <w:rFonts w:hint="eastAsia"/>
              </w:rPr>
              <w:t>0.02～0.11</w:t>
            </w:r>
          </w:p>
        </w:tc>
      </w:tr>
      <w:tr w14:paraId="5102C235">
        <w:tblPrEx>
          <w:tblCellMar>
            <w:top w:w="0" w:type="dxa"/>
            <w:left w:w="108" w:type="dxa"/>
            <w:bottom w:w="0" w:type="dxa"/>
            <w:right w:w="108" w:type="dxa"/>
          </w:tblCellMar>
        </w:tblPrEx>
        <w:trPr>
          <w:trHeight w:val="407" w:hRule="exact"/>
        </w:trPr>
        <w:tc>
          <w:tcPr>
            <w:tcW w:w="1202" w:type="dxa"/>
            <w:tcBorders>
              <w:top w:val="single" w:color="000000" w:sz="4" w:space="0"/>
              <w:left w:val="single" w:color="000000" w:sz="4" w:space="0"/>
              <w:bottom w:val="single" w:color="000000" w:sz="4" w:space="0"/>
              <w:right w:val="single" w:color="000000" w:sz="4" w:space="0"/>
            </w:tcBorders>
            <w:noWrap w:val="0"/>
            <w:vAlign w:val="center"/>
          </w:tcPr>
          <w:p w14:paraId="2A8CAAC7">
            <w:pPr>
              <w:pStyle w:val="30"/>
              <w:bidi w:val="0"/>
              <w:rPr>
                <w:rFonts w:hint="eastAsia"/>
              </w:rPr>
            </w:pPr>
            <w:r>
              <w:rPr>
                <w:rFonts w:hint="eastAsia"/>
              </w:rPr>
              <w:t>蓝</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33739BE8">
            <w:pPr>
              <w:pStyle w:val="30"/>
              <w:bidi w:val="0"/>
              <w:rPr>
                <w:rFonts w:hint="eastAsia"/>
              </w:rPr>
            </w:pPr>
            <w:r>
              <w:rPr>
                <w:rFonts w:hint="eastAsia"/>
              </w:rPr>
              <w:t>0.049</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F340E20">
            <w:pPr>
              <w:pStyle w:val="30"/>
              <w:bidi w:val="0"/>
              <w:rPr>
                <w:rFonts w:hint="eastAsia"/>
              </w:rPr>
            </w:pPr>
            <w:r>
              <w:rPr>
                <w:rFonts w:hint="eastAsia"/>
              </w:rPr>
              <w:t>0.125</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42EA200">
            <w:pPr>
              <w:pStyle w:val="30"/>
              <w:bidi w:val="0"/>
              <w:rPr>
                <w:rFonts w:hint="eastAsia"/>
              </w:rPr>
            </w:pPr>
            <w:r>
              <w:rPr>
                <w:rFonts w:hint="eastAsia"/>
              </w:rPr>
              <w:t>0.172</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DA15F1C">
            <w:pPr>
              <w:pStyle w:val="30"/>
              <w:bidi w:val="0"/>
              <w:rPr>
                <w:rFonts w:hint="eastAsia"/>
              </w:rPr>
            </w:pPr>
            <w:r>
              <w:rPr>
                <w:rFonts w:hint="eastAsia"/>
              </w:rPr>
              <w:t>0.198</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3C26FAE1">
            <w:pPr>
              <w:pStyle w:val="30"/>
              <w:bidi w:val="0"/>
              <w:rPr>
                <w:rFonts w:hint="eastAsia"/>
              </w:rPr>
            </w:pPr>
            <w:r>
              <w:rPr>
                <w:rFonts w:hint="eastAsia"/>
              </w:rPr>
              <w:t>0.210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43AAD9F">
            <w:pPr>
              <w:pStyle w:val="30"/>
              <w:bidi w:val="0"/>
              <w:rPr>
                <w:rFonts w:hint="eastAsia"/>
              </w:rPr>
            </w:pPr>
            <w:r>
              <w:rPr>
                <w:rFonts w:hint="eastAsia"/>
              </w:rPr>
              <w:t>0.160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0AA4CE99">
            <w:pPr>
              <w:pStyle w:val="30"/>
              <w:bidi w:val="0"/>
              <w:rPr>
                <w:rFonts w:hint="eastAsia"/>
              </w:rPr>
            </w:pPr>
            <w:r>
              <w:rPr>
                <w:rFonts w:hint="eastAsia"/>
              </w:rPr>
              <w:t>0.137</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081F7C22">
            <w:pPr>
              <w:pStyle w:val="30"/>
              <w:bidi w:val="0"/>
              <w:rPr>
                <w:rFonts w:hint="eastAsia"/>
              </w:rPr>
            </w:pPr>
            <w:r>
              <w:rPr>
                <w:rFonts w:hint="eastAsia"/>
              </w:rPr>
              <w:t>0.038</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14:paraId="0F69DD2E">
            <w:pPr>
              <w:pStyle w:val="30"/>
              <w:bidi w:val="0"/>
              <w:rPr>
                <w:rFonts w:hint="eastAsia"/>
              </w:rPr>
            </w:pPr>
            <w:r>
              <w:rPr>
                <w:rFonts w:hint="eastAsia"/>
              </w:rPr>
              <w:t>0.01～0.10</w:t>
            </w:r>
          </w:p>
        </w:tc>
        <w:tc>
          <w:tcPr>
            <w:tcW w:w="1477" w:type="dxa"/>
            <w:tcBorders>
              <w:top w:val="single" w:color="000000" w:sz="4" w:space="0"/>
              <w:left w:val="single" w:color="000000" w:sz="4" w:space="0"/>
              <w:bottom w:val="single" w:color="000000" w:sz="4" w:space="0"/>
              <w:right w:val="single" w:color="000000" w:sz="4" w:space="0"/>
            </w:tcBorders>
            <w:noWrap w:val="0"/>
            <w:vAlign w:val="center"/>
          </w:tcPr>
          <w:p w14:paraId="62A7914E">
            <w:pPr>
              <w:pStyle w:val="30"/>
              <w:bidi w:val="0"/>
              <w:rPr>
                <w:rFonts w:hint="eastAsia"/>
              </w:rPr>
            </w:pPr>
            <w:r>
              <w:rPr>
                <w:rFonts w:hint="eastAsia"/>
              </w:rPr>
              <w:t>0.01～0.10</w:t>
            </w:r>
          </w:p>
        </w:tc>
      </w:tr>
    </w:tbl>
    <w:p w14:paraId="3FB78FDB">
      <w:pPr>
        <w:pStyle w:val="12"/>
        <w:kinsoku w:val="0"/>
        <w:overflowPunct w:val="0"/>
        <w:spacing w:before="91"/>
        <w:ind w:right="3810"/>
        <w:jc w:val="right"/>
        <w:rPr>
          <w:rFonts w:hint="eastAsia"/>
          <w:sz w:val="24"/>
        </w:rPr>
      </w:pPr>
    </w:p>
    <w:p w14:paraId="4A357697">
      <w:pPr>
        <w:pStyle w:val="12"/>
        <w:kinsoku w:val="0"/>
        <w:overflowPunct w:val="0"/>
        <w:spacing w:before="91"/>
        <w:ind w:right="3810"/>
        <w:jc w:val="right"/>
        <w:rPr>
          <w:rFonts w:hint="eastAsia"/>
          <w:sz w:val="24"/>
        </w:rPr>
      </w:pPr>
    </w:p>
    <w:p w14:paraId="1745AAAB">
      <w:pPr>
        <w:pStyle w:val="12"/>
        <w:kinsoku w:val="0"/>
        <w:overflowPunct w:val="0"/>
        <w:spacing w:before="91"/>
        <w:ind w:right="3810"/>
        <w:jc w:val="right"/>
        <w:rPr>
          <w:rFonts w:hint="eastAsia"/>
          <w:sz w:val="24"/>
        </w:rPr>
      </w:pPr>
      <w:r>
        <w:rPr>
          <w:rFonts w:hint="eastAsia"/>
          <w:sz w:val="24"/>
        </w:rPr>
        <w:t>反光膜颜色（夜间色）</w:t>
      </w:r>
    </w:p>
    <w:tbl>
      <w:tblPr>
        <w:tblStyle w:val="20"/>
        <w:tblW w:w="0" w:type="auto"/>
        <w:tblInd w:w="2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1091"/>
        <w:gridCol w:w="1093"/>
        <w:gridCol w:w="1091"/>
        <w:gridCol w:w="1092"/>
        <w:gridCol w:w="1089"/>
        <w:gridCol w:w="1093"/>
        <w:gridCol w:w="1091"/>
        <w:gridCol w:w="1230"/>
      </w:tblGrid>
      <w:tr w14:paraId="6BCF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exact"/>
        </w:trPr>
        <w:tc>
          <w:tcPr>
            <w:tcW w:w="1429" w:type="dxa"/>
            <w:vMerge w:val="restart"/>
            <w:noWrap w:val="0"/>
            <w:vAlign w:val="center"/>
          </w:tcPr>
          <w:p w14:paraId="16085C23">
            <w:pPr>
              <w:pStyle w:val="30"/>
              <w:bidi w:val="0"/>
              <w:rPr>
                <w:rFonts w:hint="eastAsia"/>
              </w:rPr>
            </w:pPr>
          </w:p>
          <w:p w14:paraId="68C3434C">
            <w:pPr>
              <w:pStyle w:val="30"/>
              <w:bidi w:val="0"/>
              <w:rPr>
                <w:rFonts w:hint="eastAsia"/>
              </w:rPr>
            </w:pPr>
            <w:r>
              <w:rPr>
                <w:rFonts w:hint="eastAsia"/>
              </w:rPr>
              <w:t>颜色</w:t>
            </w:r>
          </w:p>
        </w:tc>
        <w:tc>
          <w:tcPr>
            <w:tcW w:w="8870" w:type="dxa"/>
            <w:gridSpan w:val="8"/>
            <w:noWrap w:val="0"/>
            <w:vAlign w:val="center"/>
          </w:tcPr>
          <w:p w14:paraId="235AC952">
            <w:pPr>
              <w:pStyle w:val="30"/>
              <w:bidi w:val="0"/>
              <w:rPr>
                <w:rFonts w:hint="eastAsia"/>
              </w:rPr>
            </w:pPr>
            <w:r>
              <w:rPr>
                <w:rFonts w:hint="eastAsia"/>
              </w:rPr>
              <w:t>色品坐标（标准照明体 A， 2°视场角）</w:t>
            </w:r>
          </w:p>
        </w:tc>
      </w:tr>
      <w:tr w14:paraId="5019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exact"/>
        </w:trPr>
        <w:tc>
          <w:tcPr>
            <w:tcW w:w="1429" w:type="dxa"/>
            <w:vMerge w:val="continue"/>
            <w:noWrap w:val="0"/>
            <w:vAlign w:val="center"/>
          </w:tcPr>
          <w:p w14:paraId="6240D37F">
            <w:pPr>
              <w:pStyle w:val="30"/>
              <w:bidi w:val="0"/>
              <w:rPr>
                <w:rFonts w:hint="eastAsia"/>
              </w:rPr>
            </w:pPr>
          </w:p>
        </w:tc>
        <w:tc>
          <w:tcPr>
            <w:tcW w:w="2184" w:type="dxa"/>
            <w:gridSpan w:val="2"/>
            <w:noWrap w:val="0"/>
            <w:vAlign w:val="center"/>
          </w:tcPr>
          <w:p w14:paraId="12E6ECF4">
            <w:pPr>
              <w:pStyle w:val="30"/>
              <w:bidi w:val="0"/>
              <w:rPr>
                <w:rFonts w:hint="eastAsia"/>
              </w:rPr>
            </w:pPr>
            <w:r>
              <w:rPr>
                <w:rFonts w:hint="eastAsia"/>
              </w:rPr>
              <w:t>1</w:t>
            </w:r>
          </w:p>
        </w:tc>
        <w:tc>
          <w:tcPr>
            <w:tcW w:w="2183" w:type="dxa"/>
            <w:gridSpan w:val="2"/>
            <w:noWrap w:val="0"/>
            <w:vAlign w:val="center"/>
          </w:tcPr>
          <w:p w14:paraId="1EB52933">
            <w:pPr>
              <w:pStyle w:val="30"/>
              <w:bidi w:val="0"/>
              <w:rPr>
                <w:rFonts w:hint="eastAsia"/>
              </w:rPr>
            </w:pPr>
            <w:r>
              <w:rPr>
                <w:rFonts w:hint="eastAsia"/>
              </w:rPr>
              <w:t>2</w:t>
            </w:r>
          </w:p>
        </w:tc>
        <w:tc>
          <w:tcPr>
            <w:tcW w:w="2182" w:type="dxa"/>
            <w:gridSpan w:val="2"/>
            <w:noWrap w:val="0"/>
            <w:vAlign w:val="center"/>
          </w:tcPr>
          <w:p w14:paraId="01CC4386">
            <w:pPr>
              <w:pStyle w:val="30"/>
              <w:bidi w:val="0"/>
              <w:rPr>
                <w:rFonts w:hint="eastAsia"/>
              </w:rPr>
            </w:pPr>
            <w:r>
              <w:rPr>
                <w:rFonts w:hint="eastAsia"/>
              </w:rPr>
              <w:t>3</w:t>
            </w:r>
          </w:p>
        </w:tc>
        <w:tc>
          <w:tcPr>
            <w:tcW w:w="2321" w:type="dxa"/>
            <w:gridSpan w:val="2"/>
            <w:noWrap w:val="0"/>
            <w:vAlign w:val="center"/>
          </w:tcPr>
          <w:p w14:paraId="6BF7C736">
            <w:pPr>
              <w:pStyle w:val="30"/>
              <w:bidi w:val="0"/>
              <w:rPr>
                <w:rFonts w:hint="eastAsia"/>
              </w:rPr>
            </w:pPr>
            <w:r>
              <w:rPr>
                <w:rFonts w:hint="eastAsia"/>
              </w:rPr>
              <w:t>4</w:t>
            </w:r>
          </w:p>
        </w:tc>
      </w:tr>
      <w:tr w14:paraId="51A7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exact"/>
        </w:trPr>
        <w:tc>
          <w:tcPr>
            <w:tcW w:w="1429" w:type="dxa"/>
            <w:vMerge w:val="continue"/>
            <w:noWrap w:val="0"/>
            <w:vAlign w:val="center"/>
          </w:tcPr>
          <w:p w14:paraId="29FF94F6">
            <w:pPr>
              <w:pStyle w:val="30"/>
              <w:bidi w:val="0"/>
              <w:rPr>
                <w:rFonts w:hint="eastAsia"/>
              </w:rPr>
            </w:pPr>
          </w:p>
        </w:tc>
        <w:tc>
          <w:tcPr>
            <w:tcW w:w="1091" w:type="dxa"/>
            <w:noWrap w:val="0"/>
            <w:vAlign w:val="center"/>
          </w:tcPr>
          <w:p w14:paraId="3C9E99AA">
            <w:pPr>
              <w:pStyle w:val="30"/>
              <w:bidi w:val="0"/>
              <w:rPr>
                <w:rFonts w:hint="eastAsia"/>
              </w:rPr>
            </w:pPr>
            <w:r>
              <w:rPr>
                <w:rFonts w:hint="eastAsia"/>
              </w:rPr>
              <w:t>x</w:t>
            </w:r>
          </w:p>
        </w:tc>
        <w:tc>
          <w:tcPr>
            <w:tcW w:w="1093" w:type="dxa"/>
            <w:noWrap w:val="0"/>
            <w:vAlign w:val="center"/>
          </w:tcPr>
          <w:p w14:paraId="456B6438">
            <w:pPr>
              <w:pStyle w:val="30"/>
              <w:bidi w:val="0"/>
              <w:rPr>
                <w:rFonts w:hint="eastAsia"/>
              </w:rPr>
            </w:pPr>
            <w:r>
              <w:rPr>
                <w:rFonts w:hint="eastAsia"/>
              </w:rPr>
              <w:t>y</w:t>
            </w:r>
          </w:p>
        </w:tc>
        <w:tc>
          <w:tcPr>
            <w:tcW w:w="1091" w:type="dxa"/>
            <w:noWrap w:val="0"/>
            <w:vAlign w:val="center"/>
          </w:tcPr>
          <w:p w14:paraId="13C5DED3">
            <w:pPr>
              <w:pStyle w:val="30"/>
              <w:bidi w:val="0"/>
              <w:rPr>
                <w:rFonts w:hint="eastAsia"/>
              </w:rPr>
            </w:pPr>
            <w:r>
              <w:rPr>
                <w:rFonts w:hint="eastAsia"/>
              </w:rPr>
              <w:t>x</w:t>
            </w:r>
          </w:p>
        </w:tc>
        <w:tc>
          <w:tcPr>
            <w:tcW w:w="1092" w:type="dxa"/>
            <w:noWrap w:val="0"/>
            <w:vAlign w:val="center"/>
          </w:tcPr>
          <w:p w14:paraId="16ACBEBE">
            <w:pPr>
              <w:pStyle w:val="30"/>
              <w:bidi w:val="0"/>
              <w:rPr>
                <w:rFonts w:hint="eastAsia"/>
              </w:rPr>
            </w:pPr>
            <w:r>
              <w:rPr>
                <w:rFonts w:hint="eastAsia"/>
              </w:rPr>
              <w:t>y</w:t>
            </w:r>
          </w:p>
        </w:tc>
        <w:tc>
          <w:tcPr>
            <w:tcW w:w="1089" w:type="dxa"/>
            <w:noWrap w:val="0"/>
            <w:vAlign w:val="center"/>
          </w:tcPr>
          <w:p w14:paraId="10ACF977">
            <w:pPr>
              <w:pStyle w:val="30"/>
              <w:bidi w:val="0"/>
              <w:rPr>
                <w:rFonts w:hint="eastAsia"/>
              </w:rPr>
            </w:pPr>
            <w:r>
              <w:rPr>
                <w:rFonts w:hint="eastAsia"/>
              </w:rPr>
              <w:t>x</w:t>
            </w:r>
          </w:p>
        </w:tc>
        <w:tc>
          <w:tcPr>
            <w:tcW w:w="1093" w:type="dxa"/>
            <w:noWrap w:val="0"/>
            <w:vAlign w:val="center"/>
          </w:tcPr>
          <w:p w14:paraId="4AE39A28">
            <w:pPr>
              <w:pStyle w:val="30"/>
              <w:bidi w:val="0"/>
              <w:rPr>
                <w:rFonts w:hint="eastAsia"/>
              </w:rPr>
            </w:pPr>
            <w:r>
              <w:rPr>
                <w:rFonts w:hint="eastAsia"/>
              </w:rPr>
              <w:t>y</w:t>
            </w:r>
          </w:p>
        </w:tc>
        <w:tc>
          <w:tcPr>
            <w:tcW w:w="1091" w:type="dxa"/>
            <w:noWrap w:val="0"/>
            <w:vAlign w:val="center"/>
          </w:tcPr>
          <w:p w14:paraId="417E112C">
            <w:pPr>
              <w:pStyle w:val="30"/>
              <w:bidi w:val="0"/>
              <w:rPr>
                <w:rFonts w:hint="eastAsia"/>
              </w:rPr>
            </w:pPr>
            <w:r>
              <w:rPr>
                <w:rFonts w:hint="eastAsia"/>
              </w:rPr>
              <w:t>x</w:t>
            </w:r>
          </w:p>
        </w:tc>
        <w:tc>
          <w:tcPr>
            <w:tcW w:w="1230" w:type="dxa"/>
            <w:noWrap w:val="0"/>
            <w:vAlign w:val="center"/>
          </w:tcPr>
          <w:p w14:paraId="2E6F6DF7">
            <w:pPr>
              <w:pStyle w:val="30"/>
              <w:bidi w:val="0"/>
              <w:rPr>
                <w:rFonts w:hint="eastAsia"/>
              </w:rPr>
            </w:pPr>
            <w:r>
              <w:rPr>
                <w:rFonts w:hint="eastAsia"/>
              </w:rPr>
              <w:t>y</w:t>
            </w:r>
          </w:p>
        </w:tc>
      </w:tr>
      <w:tr w14:paraId="4803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429" w:type="dxa"/>
            <w:noWrap w:val="0"/>
            <w:vAlign w:val="center"/>
          </w:tcPr>
          <w:p w14:paraId="26880FF8">
            <w:pPr>
              <w:pStyle w:val="30"/>
              <w:bidi w:val="0"/>
              <w:rPr>
                <w:rFonts w:hint="eastAsia"/>
              </w:rPr>
            </w:pPr>
            <w:r>
              <w:rPr>
                <w:rFonts w:hint="eastAsia"/>
              </w:rPr>
              <w:t>黄</w:t>
            </w:r>
          </w:p>
        </w:tc>
        <w:tc>
          <w:tcPr>
            <w:tcW w:w="1091" w:type="dxa"/>
            <w:noWrap w:val="0"/>
            <w:vAlign w:val="center"/>
          </w:tcPr>
          <w:p w14:paraId="312EFE68">
            <w:pPr>
              <w:pStyle w:val="30"/>
              <w:bidi w:val="0"/>
              <w:rPr>
                <w:rFonts w:hint="eastAsia"/>
              </w:rPr>
            </w:pPr>
            <w:r>
              <w:rPr>
                <w:rFonts w:hint="eastAsia"/>
              </w:rPr>
              <w:t>0.513</w:t>
            </w:r>
          </w:p>
        </w:tc>
        <w:tc>
          <w:tcPr>
            <w:tcW w:w="1093" w:type="dxa"/>
            <w:noWrap w:val="0"/>
            <w:vAlign w:val="center"/>
          </w:tcPr>
          <w:p w14:paraId="10D341E8">
            <w:pPr>
              <w:pStyle w:val="30"/>
              <w:bidi w:val="0"/>
              <w:rPr>
                <w:rFonts w:hint="eastAsia"/>
              </w:rPr>
            </w:pPr>
            <w:r>
              <w:rPr>
                <w:rFonts w:hint="eastAsia"/>
              </w:rPr>
              <w:t>0.487</w:t>
            </w:r>
          </w:p>
        </w:tc>
        <w:tc>
          <w:tcPr>
            <w:tcW w:w="1091" w:type="dxa"/>
            <w:noWrap w:val="0"/>
            <w:vAlign w:val="center"/>
          </w:tcPr>
          <w:p w14:paraId="1C1AF5A5">
            <w:pPr>
              <w:pStyle w:val="30"/>
              <w:bidi w:val="0"/>
              <w:rPr>
                <w:rFonts w:hint="eastAsia"/>
              </w:rPr>
            </w:pPr>
            <w:r>
              <w:rPr>
                <w:rFonts w:hint="eastAsia"/>
              </w:rPr>
              <w:t>0.500</w:t>
            </w:r>
          </w:p>
        </w:tc>
        <w:tc>
          <w:tcPr>
            <w:tcW w:w="1092" w:type="dxa"/>
            <w:noWrap w:val="0"/>
            <w:vAlign w:val="center"/>
          </w:tcPr>
          <w:p w14:paraId="6DB2B99C">
            <w:pPr>
              <w:pStyle w:val="30"/>
              <w:bidi w:val="0"/>
              <w:rPr>
                <w:rFonts w:hint="eastAsia"/>
              </w:rPr>
            </w:pPr>
            <w:r>
              <w:rPr>
                <w:rFonts w:hint="eastAsia"/>
              </w:rPr>
              <w:t>0.470</w:t>
            </w:r>
          </w:p>
        </w:tc>
        <w:tc>
          <w:tcPr>
            <w:tcW w:w="1089" w:type="dxa"/>
            <w:noWrap w:val="0"/>
            <w:vAlign w:val="center"/>
          </w:tcPr>
          <w:p w14:paraId="204D1D38">
            <w:pPr>
              <w:pStyle w:val="30"/>
              <w:bidi w:val="0"/>
              <w:rPr>
                <w:rFonts w:hint="eastAsia"/>
              </w:rPr>
            </w:pPr>
            <w:r>
              <w:rPr>
                <w:rFonts w:hint="eastAsia"/>
              </w:rPr>
              <w:t>0.545</w:t>
            </w:r>
          </w:p>
        </w:tc>
        <w:tc>
          <w:tcPr>
            <w:tcW w:w="1093" w:type="dxa"/>
            <w:noWrap w:val="0"/>
            <w:vAlign w:val="center"/>
          </w:tcPr>
          <w:p w14:paraId="44C6D5BB">
            <w:pPr>
              <w:pStyle w:val="30"/>
              <w:bidi w:val="0"/>
              <w:rPr>
                <w:rFonts w:hint="eastAsia"/>
              </w:rPr>
            </w:pPr>
            <w:r>
              <w:rPr>
                <w:rFonts w:hint="eastAsia"/>
              </w:rPr>
              <w:t>0.425</w:t>
            </w:r>
          </w:p>
        </w:tc>
        <w:tc>
          <w:tcPr>
            <w:tcW w:w="1091" w:type="dxa"/>
            <w:noWrap w:val="0"/>
            <w:vAlign w:val="center"/>
          </w:tcPr>
          <w:p w14:paraId="12AC7ED6">
            <w:pPr>
              <w:pStyle w:val="30"/>
              <w:bidi w:val="0"/>
              <w:rPr>
                <w:rFonts w:hint="eastAsia"/>
              </w:rPr>
            </w:pPr>
            <w:r>
              <w:rPr>
                <w:rFonts w:hint="eastAsia"/>
              </w:rPr>
              <w:t>0.572</w:t>
            </w:r>
          </w:p>
        </w:tc>
        <w:tc>
          <w:tcPr>
            <w:tcW w:w="1230" w:type="dxa"/>
            <w:noWrap w:val="0"/>
            <w:vAlign w:val="center"/>
          </w:tcPr>
          <w:p w14:paraId="7CD3756F">
            <w:pPr>
              <w:pStyle w:val="30"/>
              <w:bidi w:val="0"/>
              <w:rPr>
                <w:rFonts w:hint="eastAsia"/>
              </w:rPr>
            </w:pPr>
            <w:r>
              <w:rPr>
                <w:rFonts w:hint="eastAsia"/>
              </w:rPr>
              <w:t>0.425</w:t>
            </w:r>
          </w:p>
        </w:tc>
      </w:tr>
      <w:tr w14:paraId="0287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trPr>
        <w:tc>
          <w:tcPr>
            <w:tcW w:w="1429" w:type="dxa"/>
            <w:noWrap w:val="0"/>
            <w:vAlign w:val="center"/>
          </w:tcPr>
          <w:p w14:paraId="12AAB23F">
            <w:pPr>
              <w:pStyle w:val="30"/>
              <w:bidi w:val="0"/>
              <w:rPr>
                <w:rFonts w:hint="eastAsia"/>
              </w:rPr>
            </w:pPr>
            <w:r>
              <w:rPr>
                <w:rFonts w:hint="eastAsia"/>
              </w:rPr>
              <w:t>橙</w:t>
            </w:r>
          </w:p>
        </w:tc>
        <w:tc>
          <w:tcPr>
            <w:tcW w:w="1091" w:type="dxa"/>
            <w:noWrap w:val="0"/>
            <w:vAlign w:val="center"/>
          </w:tcPr>
          <w:p w14:paraId="672FFDF8">
            <w:pPr>
              <w:pStyle w:val="30"/>
              <w:bidi w:val="0"/>
              <w:rPr>
                <w:rFonts w:hint="eastAsia"/>
              </w:rPr>
            </w:pPr>
            <w:r>
              <w:rPr>
                <w:rFonts w:hint="eastAsia"/>
              </w:rPr>
              <w:t>0.595</w:t>
            </w:r>
          </w:p>
        </w:tc>
        <w:tc>
          <w:tcPr>
            <w:tcW w:w="1093" w:type="dxa"/>
            <w:noWrap w:val="0"/>
            <w:vAlign w:val="center"/>
          </w:tcPr>
          <w:p w14:paraId="48D4ACE2">
            <w:pPr>
              <w:pStyle w:val="30"/>
              <w:bidi w:val="0"/>
              <w:rPr>
                <w:rFonts w:hint="eastAsia"/>
              </w:rPr>
            </w:pPr>
            <w:r>
              <w:rPr>
                <w:rFonts w:hint="eastAsia"/>
              </w:rPr>
              <w:t>0.405</w:t>
            </w:r>
          </w:p>
        </w:tc>
        <w:tc>
          <w:tcPr>
            <w:tcW w:w="1091" w:type="dxa"/>
            <w:noWrap w:val="0"/>
            <w:vAlign w:val="center"/>
          </w:tcPr>
          <w:p w14:paraId="2FC4D89B">
            <w:pPr>
              <w:pStyle w:val="30"/>
              <w:bidi w:val="0"/>
              <w:rPr>
                <w:rFonts w:hint="eastAsia"/>
              </w:rPr>
            </w:pPr>
            <w:r>
              <w:rPr>
                <w:rFonts w:hint="eastAsia"/>
              </w:rPr>
              <w:t>0.565</w:t>
            </w:r>
          </w:p>
        </w:tc>
        <w:tc>
          <w:tcPr>
            <w:tcW w:w="1092" w:type="dxa"/>
            <w:noWrap w:val="0"/>
            <w:vAlign w:val="center"/>
          </w:tcPr>
          <w:p w14:paraId="13432813">
            <w:pPr>
              <w:pStyle w:val="30"/>
              <w:bidi w:val="0"/>
              <w:rPr>
                <w:rFonts w:hint="eastAsia"/>
              </w:rPr>
            </w:pPr>
            <w:r>
              <w:rPr>
                <w:rFonts w:hint="eastAsia"/>
              </w:rPr>
              <w:t>0.405</w:t>
            </w:r>
          </w:p>
        </w:tc>
        <w:tc>
          <w:tcPr>
            <w:tcW w:w="1089" w:type="dxa"/>
            <w:noWrap w:val="0"/>
            <w:vAlign w:val="center"/>
          </w:tcPr>
          <w:p w14:paraId="5FBC2EDA">
            <w:pPr>
              <w:pStyle w:val="30"/>
              <w:bidi w:val="0"/>
              <w:rPr>
                <w:rFonts w:hint="eastAsia"/>
              </w:rPr>
            </w:pPr>
            <w:r>
              <w:rPr>
                <w:rFonts w:hint="eastAsia"/>
              </w:rPr>
              <w:t>0.613</w:t>
            </w:r>
          </w:p>
        </w:tc>
        <w:tc>
          <w:tcPr>
            <w:tcW w:w="1093" w:type="dxa"/>
            <w:noWrap w:val="0"/>
            <w:vAlign w:val="center"/>
          </w:tcPr>
          <w:p w14:paraId="703427FF">
            <w:pPr>
              <w:pStyle w:val="30"/>
              <w:bidi w:val="0"/>
              <w:rPr>
                <w:rFonts w:hint="eastAsia"/>
              </w:rPr>
            </w:pPr>
            <w:r>
              <w:rPr>
                <w:rFonts w:hint="eastAsia"/>
              </w:rPr>
              <w:t>0.355</w:t>
            </w:r>
          </w:p>
        </w:tc>
        <w:tc>
          <w:tcPr>
            <w:tcW w:w="1091" w:type="dxa"/>
            <w:noWrap w:val="0"/>
            <w:vAlign w:val="center"/>
          </w:tcPr>
          <w:p w14:paraId="1FF01251">
            <w:pPr>
              <w:pStyle w:val="30"/>
              <w:bidi w:val="0"/>
              <w:rPr>
                <w:rFonts w:hint="eastAsia"/>
              </w:rPr>
            </w:pPr>
            <w:r>
              <w:rPr>
                <w:rFonts w:hint="eastAsia"/>
              </w:rPr>
              <w:t>0.643</w:t>
            </w:r>
          </w:p>
        </w:tc>
        <w:tc>
          <w:tcPr>
            <w:tcW w:w="1230" w:type="dxa"/>
            <w:noWrap w:val="0"/>
            <w:vAlign w:val="center"/>
          </w:tcPr>
          <w:p w14:paraId="069E7338">
            <w:pPr>
              <w:pStyle w:val="30"/>
              <w:bidi w:val="0"/>
              <w:rPr>
                <w:rFonts w:hint="eastAsia"/>
              </w:rPr>
            </w:pPr>
            <w:r>
              <w:rPr>
                <w:rFonts w:hint="eastAsia"/>
              </w:rPr>
              <w:t>0.355</w:t>
            </w:r>
          </w:p>
        </w:tc>
      </w:tr>
      <w:tr w14:paraId="6F9B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429" w:type="dxa"/>
            <w:noWrap w:val="0"/>
            <w:vAlign w:val="center"/>
          </w:tcPr>
          <w:p w14:paraId="37D7C1BD">
            <w:pPr>
              <w:pStyle w:val="30"/>
              <w:bidi w:val="0"/>
              <w:rPr>
                <w:rFonts w:hint="eastAsia"/>
              </w:rPr>
            </w:pPr>
            <w:r>
              <w:rPr>
                <w:rFonts w:hint="eastAsia"/>
              </w:rPr>
              <w:t>红</w:t>
            </w:r>
          </w:p>
        </w:tc>
        <w:tc>
          <w:tcPr>
            <w:tcW w:w="1091" w:type="dxa"/>
            <w:noWrap w:val="0"/>
            <w:vAlign w:val="center"/>
          </w:tcPr>
          <w:p w14:paraId="3149FAF7">
            <w:pPr>
              <w:pStyle w:val="30"/>
              <w:bidi w:val="0"/>
              <w:rPr>
                <w:rFonts w:hint="eastAsia"/>
              </w:rPr>
            </w:pPr>
            <w:r>
              <w:rPr>
                <w:rFonts w:hint="eastAsia"/>
              </w:rPr>
              <w:t>0.650</w:t>
            </w:r>
          </w:p>
        </w:tc>
        <w:tc>
          <w:tcPr>
            <w:tcW w:w="1093" w:type="dxa"/>
            <w:noWrap w:val="0"/>
            <w:vAlign w:val="center"/>
          </w:tcPr>
          <w:p w14:paraId="36E95A6C">
            <w:pPr>
              <w:pStyle w:val="30"/>
              <w:bidi w:val="0"/>
              <w:rPr>
                <w:rFonts w:hint="eastAsia"/>
              </w:rPr>
            </w:pPr>
            <w:r>
              <w:rPr>
                <w:rFonts w:hint="eastAsia"/>
              </w:rPr>
              <w:t>0.348</w:t>
            </w:r>
          </w:p>
        </w:tc>
        <w:tc>
          <w:tcPr>
            <w:tcW w:w="1091" w:type="dxa"/>
            <w:noWrap w:val="0"/>
            <w:vAlign w:val="center"/>
          </w:tcPr>
          <w:p w14:paraId="7D0F813D">
            <w:pPr>
              <w:pStyle w:val="30"/>
              <w:bidi w:val="0"/>
              <w:rPr>
                <w:rFonts w:hint="eastAsia"/>
              </w:rPr>
            </w:pPr>
            <w:r>
              <w:rPr>
                <w:rFonts w:hint="eastAsia"/>
              </w:rPr>
              <w:t>0.620</w:t>
            </w:r>
          </w:p>
        </w:tc>
        <w:tc>
          <w:tcPr>
            <w:tcW w:w="1092" w:type="dxa"/>
            <w:noWrap w:val="0"/>
            <w:vAlign w:val="center"/>
          </w:tcPr>
          <w:p w14:paraId="4CC60A2B">
            <w:pPr>
              <w:pStyle w:val="30"/>
              <w:bidi w:val="0"/>
              <w:rPr>
                <w:rFonts w:hint="eastAsia"/>
              </w:rPr>
            </w:pPr>
            <w:r>
              <w:rPr>
                <w:rFonts w:hint="eastAsia"/>
              </w:rPr>
              <w:t>0.348</w:t>
            </w:r>
          </w:p>
        </w:tc>
        <w:tc>
          <w:tcPr>
            <w:tcW w:w="1089" w:type="dxa"/>
            <w:noWrap w:val="0"/>
            <w:vAlign w:val="center"/>
          </w:tcPr>
          <w:p w14:paraId="6E1D7B66">
            <w:pPr>
              <w:pStyle w:val="30"/>
              <w:bidi w:val="0"/>
              <w:rPr>
                <w:rFonts w:hint="eastAsia"/>
              </w:rPr>
            </w:pPr>
            <w:r>
              <w:rPr>
                <w:rFonts w:hint="eastAsia"/>
              </w:rPr>
              <w:t>0.712</w:t>
            </w:r>
          </w:p>
        </w:tc>
        <w:tc>
          <w:tcPr>
            <w:tcW w:w="1093" w:type="dxa"/>
            <w:noWrap w:val="0"/>
            <w:vAlign w:val="center"/>
          </w:tcPr>
          <w:p w14:paraId="0E8D2A9A">
            <w:pPr>
              <w:pStyle w:val="30"/>
              <w:bidi w:val="0"/>
              <w:rPr>
                <w:rFonts w:hint="eastAsia"/>
              </w:rPr>
            </w:pPr>
            <w:r>
              <w:rPr>
                <w:rFonts w:hint="eastAsia"/>
              </w:rPr>
              <w:t>0.255</w:t>
            </w:r>
          </w:p>
        </w:tc>
        <w:tc>
          <w:tcPr>
            <w:tcW w:w="1091" w:type="dxa"/>
            <w:noWrap w:val="0"/>
            <w:vAlign w:val="center"/>
          </w:tcPr>
          <w:p w14:paraId="3DE0BD9C">
            <w:pPr>
              <w:pStyle w:val="30"/>
              <w:bidi w:val="0"/>
              <w:rPr>
                <w:rFonts w:hint="eastAsia"/>
              </w:rPr>
            </w:pPr>
            <w:r>
              <w:rPr>
                <w:rFonts w:hint="eastAsia"/>
              </w:rPr>
              <w:t>0.735</w:t>
            </w:r>
          </w:p>
        </w:tc>
        <w:tc>
          <w:tcPr>
            <w:tcW w:w="1230" w:type="dxa"/>
            <w:noWrap w:val="0"/>
            <w:vAlign w:val="center"/>
          </w:tcPr>
          <w:p w14:paraId="7566B9A0">
            <w:pPr>
              <w:pStyle w:val="30"/>
              <w:bidi w:val="0"/>
              <w:rPr>
                <w:rFonts w:hint="eastAsia"/>
              </w:rPr>
            </w:pPr>
            <w:r>
              <w:rPr>
                <w:rFonts w:hint="eastAsia"/>
              </w:rPr>
              <w:t>0.265</w:t>
            </w:r>
          </w:p>
        </w:tc>
      </w:tr>
      <w:tr w14:paraId="1BB1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429" w:type="dxa"/>
            <w:noWrap w:val="0"/>
            <w:vAlign w:val="center"/>
          </w:tcPr>
          <w:p w14:paraId="1A3EA90F">
            <w:pPr>
              <w:pStyle w:val="30"/>
              <w:bidi w:val="0"/>
              <w:rPr>
                <w:rFonts w:hint="eastAsia"/>
              </w:rPr>
            </w:pPr>
            <w:r>
              <w:rPr>
                <w:rFonts w:hint="eastAsia"/>
              </w:rPr>
              <w:t>绿</w:t>
            </w:r>
          </w:p>
        </w:tc>
        <w:tc>
          <w:tcPr>
            <w:tcW w:w="1091" w:type="dxa"/>
            <w:noWrap w:val="0"/>
            <w:vAlign w:val="center"/>
          </w:tcPr>
          <w:p w14:paraId="6428E21C">
            <w:pPr>
              <w:pStyle w:val="30"/>
              <w:bidi w:val="0"/>
              <w:rPr>
                <w:rFonts w:hint="eastAsia"/>
              </w:rPr>
            </w:pPr>
            <w:r>
              <w:rPr>
                <w:rFonts w:hint="eastAsia"/>
              </w:rPr>
              <w:t>0.007</w:t>
            </w:r>
          </w:p>
        </w:tc>
        <w:tc>
          <w:tcPr>
            <w:tcW w:w="1093" w:type="dxa"/>
            <w:noWrap w:val="0"/>
            <w:vAlign w:val="center"/>
          </w:tcPr>
          <w:p w14:paraId="08663453">
            <w:pPr>
              <w:pStyle w:val="30"/>
              <w:bidi w:val="0"/>
              <w:rPr>
                <w:rFonts w:hint="eastAsia"/>
              </w:rPr>
            </w:pPr>
            <w:r>
              <w:rPr>
                <w:rFonts w:hint="eastAsia"/>
              </w:rPr>
              <w:t>0.570</w:t>
            </w:r>
          </w:p>
        </w:tc>
        <w:tc>
          <w:tcPr>
            <w:tcW w:w="1091" w:type="dxa"/>
            <w:noWrap w:val="0"/>
            <w:vAlign w:val="center"/>
          </w:tcPr>
          <w:p w14:paraId="6247F79A">
            <w:pPr>
              <w:pStyle w:val="30"/>
              <w:bidi w:val="0"/>
              <w:rPr>
                <w:rFonts w:hint="eastAsia"/>
              </w:rPr>
            </w:pPr>
            <w:r>
              <w:rPr>
                <w:rFonts w:hint="eastAsia"/>
              </w:rPr>
              <w:t>0.200</w:t>
            </w:r>
          </w:p>
        </w:tc>
        <w:tc>
          <w:tcPr>
            <w:tcW w:w="1092" w:type="dxa"/>
            <w:noWrap w:val="0"/>
            <w:vAlign w:val="center"/>
          </w:tcPr>
          <w:p w14:paraId="598E0756">
            <w:pPr>
              <w:pStyle w:val="30"/>
              <w:bidi w:val="0"/>
              <w:rPr>
                <w:rFonts w:hint="eastAsia"/>
              </w:rPr>
            </w:pPr>
            <w:r>
              <w:rPr>
                <w:rFonts w:hint="eastAsia"/>
              </w:rPr>
              <w:t>0.500</w:t>
            </w:r>
          </w:p>
        </w:tc>
        <w:tc>
          <w:tcPr>
            <w:tcW w:w="1089" w:type="dxa"/>
            <w:noWrap w:val="0"/>
            <w:vAlign w:val="center"/>
          </w:tcPr>
          <w:p w14:paraId="2494A3DD">
            <w:pPr>
              <w:pStyle w:val="30"/>
              <w:bidi w:val="0"/>
              <w:rPr>
                <w:rFonts w:hint="eastAsia"/>
              </w:rPr>
            </w:pPr>
            <w:r>
              <w:rPr>
                <w:rFonts w:hint="eastAsia"/>
              </w:rPr>
              <w:t>0.322</w:t>
            </w:r>
          </w:p>
        </w:tc>
        <w:tc>
          <w:tcPr>
            <w:tcW w:w="1093" w:type="dxa"/>
            <w:noWrap w:val="0"/>
            <w:vAlign w:val="center"/>
          </w:tcPr>
          <w:p w14:paraId="49EEFB1F">
            <w:pPr>
              <w:pStyle w:val="30"/>
              <w:bidi w:val="0"/>
              <w:rPr>
                <w:rFonts w:hint="eastAsia"/>
              </w:rPr>
            </w:pPr>
            <w:r>
              <w:rPr>
                <w:rFonts w:hint="eastAsia"/>
              </w:rPr>
              <w:t>0.590</w:t>
            </w:r>
          </w:p>
        </w:tc>
        <w:tc>
          <w:tcPr>
            <w:tcW w:w="1091" w:type="dxa"/>
            <w:noWrap w:val="0"/>
            <w:vAlign w:val="center"/>
          </w:tcPr>
          <w:p w14:paraId="4ACE9B99">
            <w:pPr>
              <w:pStyle w:val="30"/>
              <w:bidi w:val="0"/>
              <w:rPr>
                <w:rFonts w:hint="eastAsia"/>
              </w:rPr>
            </w:pPr>
            <w:r>
              <w:rPr>
                <w:rFonts w:hint="eastAsia"/>
              </w:rPr>
              <w:t>0.193</w:t>
            </w:r>
          </w:p>
        </w:tc>
        <w:tc>
          <w:tcPr>
            <w:tcW w:w="1230" w:type="dxa"/>
            <w:noWrap w:val="0"/>
            <w:vAlign w:val="center"/>
          </w:tcPr>
          <w:p w14:paraId="60D721DD">
            <w:pPr>
              <w:pStyle w:val="30"/>
              <w:bidi w:val="0"/>
              <w:rPr>
                <w:rFonts w:hint="eastAsia"/>
              </w:rPr>
            </w:pPr>
            <w:r>
              <w:rPr>
                <w:rFonts w:hint="eastAsia"/>
              </w:rPr>
              <w:t>0.782</w:t>
            </w:r>
          </w:p>
        </w:tc>
      </w:tr>
      <w:tr w14:paraId="51AE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exact"/>
        </w:trPr>
        <w:tc>
          <w:tcPr>
            <w:tcW w:w="1429" w:type="dxa"/>
            <w:noWrap w:val="0"/>
            <w:vAlign w:val="center"/>
          </w:tcPr>
          <w:p w14:paraId="6DC52190">
            <w:pPr>
              <w:pStyle w:val="30"/>
              <w:bidi w:val="0"/>
              <w:rPr>
                <w:rFonts w:hint="eastAsia"/>
              </w:rPr>
            </w:pPr>
            <w:r>
              <w:rPr>
                <w:rFonts w:hint="eastAsia"/>
              </w:rPr>
              <w:t>蓝</w:t>
            </w:r>
          </w:p>
        </w:tc>
        <w:tc>
          <w:tcPr>
            <w:tcW w:w="1091" w:type="dxa"/>
            <w:noWrap w:val="0"/>
            <w:vAlign w:val="center"/>
          </w:tcPr>
          <w:p w14:paraId="0AF4489D">
            <w:pPr>
              <w:pStyle w:val="30"/>
              <w:bidi w:val="0"/>
              <w:rPr>
                <w:rFonts w:hint="eastAsia"/>
              </w:rPr>
            </w:pPr>
            <w:r>
              <w:rPr>
                <w:rFonts w:hint="eastAsia"/>
              </w:rPr>
              <w:t>0.033</w:t>
            </w:r>
          </w:p>
        </w:tc>
        <w:tc>
          <w:tcPr>
            <w:tcW w:w="1093" w:type="dxa"/>
            <w:noWrap w:val="0"/>
            <w:vAlign w:val="center"/>
          </w:tcPr>
          <w:p w14:paraId="6A379F1B">
            <w:pPr>
              <w:pStyle w:val="30"/>
              <w:bidi w:val="0"/>
              <w:rPr>
                <w:rFonts w:hint="eastAsia"/>
              </w:rPr>
            </w:pPr>
            <w:r>
              <w:rPr>
                <w:rFonts w:hint="eastAsia"/>
              </w:rPr>
              <w:t>0.370</w:t>
            </w:r>
          </w:p>
        </w:tc>
        <w:tc>
          <w:tcPr>
            <w:tcW w:w="1091" w:type="dxa"/>
            <w:noWrap w:val="0"/>
            <w:vAlign w:val="center"/>
          </w:tcPr>
          <w:p w14:paraId="249E9F79">
            <w:pPr>
              <w:pStyle w:val="30"/>
              <w:bidi w:val="0"/>
              <w:rPr>
                <w:rFonts w:hint="eastAsia"/>
              </w:rPr>
            </w:pPr>
            <w:r>
              <w:rPr>
                <w:rFonts w:hint="eastAsia"/>
              </w:rPr>
              <w:t>0.180</w:t>
            </w:r>
          </w:p>
        </w:tc>
        <w:tc>
          <w:tcPr>
            <w:tcW w:w="1092" w:type="dxa"/>
            <w:noWrap w:val="0"/>
            <w:vAlign w:val="center"/>
          </w:tcPr>
          <w:p w14:paraId="306FC697">
            <w:pPr>
              <w:pStyle w:val="30"/>
              <w:bidi w:val="0"/>
              <w:rPr>
                <w:rFonts w:hint="eastAsia"/>
              </w:rPr>
            </w:pPr>
            <w:r>
              <w:rPr>
                <w:rFonts w:hint="eastAsia"/>
              </w:rPr>
              <w:t>0.370</w:t>
            </w:r>
          </w:p>
        </w:tc>
        <w:tc>
          <w:tcPr>
            <w:tcW w:w="1089" w:type="dxa"/>
            <w:noWrap w:val="0"/>
            <w:vAlign w:val="center"/>
          </w:tcPr>
          <w:p w14:paraId="7DB46727">
            <w:pPr>
              <w:pStyle w:val="30"/>
              <w:bidi w:val="0"/>
              <w:rPr>
                <w:rFonts w:hint="eastAsia"/>
              </w:rPr>
            </w:pPr>
            <w:r>
              <w:rPr>
                <w:rFonts w:hint="eastAsia"/>
              </w:rPr>
              <w:t>0.230</w:t>
            </w:r>
          </w:p>
        </w:tc>
        <w:tc>
          <w:tcPr>
            <w:tcW w:w="1093" w:type="dxa"/>
            <w:noWrap w:val="0"/>
            <w:vAlign w:val="center"/>
          </w:tcPr>
          <w:p w14:paraId="27890305">
            <w:pPr>
              <w:pStyle w:val="30"/>
              <w:bidi w:val="0"/>
              <w:rPr>
                <w:rFonts w:hint="eastAsia"/>
              </w:rPr>
            </w:pPr>
            <w:r>
              <w:rPr>
                <w:rFonts w:hint="eastAsia"/>
              </w:rPr>
              <w:t>0.240</w:t>
            </w:r>
          </w:p>
        </w:tc>
        <w:tc>
          <w:tcPr>
            <w:tcW w:w="1091" w:type="dxa"/>
            <w:noWrap w:val="0"/>
            <w:vAlign w:val="center"/>
          </w:tcPr>
          <w:p w14:paraId="2A79AA24">
            <w:pPr>
              <w:pStyle w:val="30"/>
              <w:bidi w:val="0"/>
              <w:rPr>
                <w:rFonts w:hint="eastAsia"/>
              </w:rPr>
            </w:pPr>
            <w:r>
              <w:rPr>
                <w:rFonts w:hint="eastAsia"/>
              </w:rPr>
              <w:t>0.091</w:t>
            </w:r>
          </w:p>
        </w:tc>
        <w:tc>
          <w:tcPr>
            <w:tcW w:w="1230" w:type="dxa"/>
            <w:noWrap w:val="0"/>
            <w:vAlign w:val="center"/>
          </w:tcPr>
          <w:p w14:paraId="07AA4544">
            <w:pPr>
              <w:pStyle w:val="30"/>
              <w:bidi w:val="0"/>
              <w:rPr>
                <w:rFonts w:hint="eastAsia"/>
              </w:rPr>
            </w:pPr>
            <w:r>
              <w:rPr>
                <w:rFonts w:hint="eastAsia"/>
              </w:rPr>
              <w:t>0.133</w:t>
            </w:r>
          </w:p>
        </w:tc>
      </w:tr>
    </w:tbl>
    <w:p w14:paraId="0401044D">
      <w:pPr>
        <w:pStyle w:val="12"/>
        <w:kinsoku w:val="0"/>
        <w:overflowPunct w:val="0"/>
        <w:spacing w:line="276" w:lineRule="exact"/>
        <w:ind w:left="583"/>
        <w:rPr>
          <w:rFonts w:hint="eastAsia"/>
          <w:sz w:val="24"/>
        </w:rPr>
      </w:pPr>
      <w:r>
        <w:rPr>
          <w:rFonts w:hint="eastAsia"/>
          <w:sz w:val="24"/>
        </w:rPr>
        <w:t>注：对白色和灰色的夜间色不做要求。</w:t>
      </w:r>
    </w:p>
    <w:p w14:paraId="623751CE">
      <w:pPr>
        <w:spacing w:line="360" w:lineRule="auto"/>
        <w:ind w:firstLine="480" w:firstLineChars="200"/>
        <w:rPr>
          <w:rFonts w:hint="eastAsia" w:ascii="宋体" w:hAnsi="宋体"/>
          <w:sz w:val="24"/>
          <w:szCs w:val="24"/>
        </w:rPr>
      </w:pPr>
      <w:r>
        <w:rPr>
          <w:rFonts w:hint="eastAsia" w:ascii="宋体" w:hAnsi="宋体"/>
          <w:sz w:val="24"/>
          <w:szCs w:val="24"/>
        </w:rPr>
        <w:t>逆反射系数：</w:t>
      </w:r>
    </w:p>
    <w:tbl>
      <w:tblPr>
        <w:tblStyle w:val="20"/>
        <w:tblW w:w="10358" w:type="dxa"/>
        <w:tblInd w:w="198" w:type="dxa"/>
        <w:tblLayout w:type="fixed"/>
        <w:tblCellMar>
          <w:top w:w="0" w:type="dxa"/>
          <w:left w:w="108" w:type="dxa"/>
          <w:bottom w:w="0" w:type="dxa"/>
          <w:right w:w="108" w:type="dxa"/>
        </w:tblCellMar>
      </w:tblPr>
      <w:tblGrid>
        <w:gridCol w:w="1160"/>
        <w:gridCol w:w="972"/>
        <w:gridCol w:w="1163"/>
        <w:gridCol w:w="1163"/>
        <w:gridCol w:w="1166"/>
        <w:gridCol w:w="1163"/>
        <w:gridCol w:w="1163"/>
        <w:gridCol w:w="1166"/>
        <w:gridCol w:w="1242"/>
      </w:tblGrid>
      <w:tr w14:paraId="54186CB1">
        <w:tblPrEx>
          <w:tblCellMar>
            <w:top w:w="0" w:type="dxa"/>
            <w:left w:w="108" w:type="dxa"/>
            <w:bottom w:w="0" w:type="dxa"/>
            <w:right w:w="108" w:type="dxa"/>
          </w:tblCellMar>
        </w:tblPrEx>
        <w:trPr>
          <w:trHeight w:val="527" w:hRule="exac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D23C1C">
            <w:pPr>
              <w:pStyle w:val="30"/>
              <w:bidi w:val="0"/>
              <w:rPr>
                <w:rFonts w:hint="eastAsia"/>
              </w:rPr>
            </w:pPr>
            <w:r>
              <w:rPr>
                <w:rFonts w:hint="eastAsia"/>
              </w:rPr>
              <w:t>观测角</w:t>
            </w:r>
          </w:p>
        </w:tc>
        <w:tc>
          <w:tcPr>
            <w:tcW w:w="972" w:type="dxa"/>
            <w:vMerge w:val="restart"/>
            <w:tcBorders>
              <w:top w:val="single" w:color="000000" w:sz="4" w:space="0"/>
              <w:left w:val="single" w:color="000000" w:sz="4" w:space="0"/>
              <w:bottom w:val="single" w:color="000000" w:sz="4" w:space="0"/>
              <w:right w:val="single" w:color="000000" w:sz="4" w:space="0"/>
            </w:tcBorders>
            <w:noWrap w:val="0"/>
            <w:vAlign w:val="center"/>
          </w:tcPr>
          <w:p w14:paraId="6F0A925E">
            <w:pPr>
              <w:pStyle w:val="30"/>
              <w:bidi w:val="0"/>
              <w:rPr>
                <w:rFonts w:hint="eastAsia"/>
              </w:rPr>
            </w:pPr>
            <w:r>
              <w:rPr>
                <w:rFonts w:hint="eastAsia"/>
              </w:rPr>
              <w:t>入射角</w:t>
            </w:r>
          </w:p>
        </w:tc>
        <w:tc>
          <w:tcPr>
            <w:tcW w:w="8226" w:type="dxa"/>
            <w:gridSpan w:val="7"/>
            <w:tcBorders>
              <w:top w:val="single" w:color="000000" w:sz="4" w:space="0"/>
              <w:left w:val="single" w:color="000000" w:sz="4" w:space="0"/>
              <w:bottom w:val="single" w:color="000000" w:sz="4" w:space="0"/>
              <w:right w:val="single" w:color="000000" w:sz="4" w:space="0"/>
            </w:tcBorders>
            <w:noWrap w:val="0"/>
            <w:vAlign w:val="center"/>
          </w:tcPr>
          <w:p w14:paraId="3F817A01">
            <w:pPr>
              <w:pStyle w:val="30"/>
              <w:bidi w:val="0"/>
              <w:rPr>
                <w:rFonts w:hint="eastAsia"/>
              </w:rPr>
            </w:pPr>
            <w:r>
              <w:rPr>
                <w:rFonts w:hint="eastAsia"/>
              </w:rPr>
              <w:t>最小逆反射系数 RA/(cd·lx-1·m-2)</w:t>
            </w:r>
          </w:p>
        </w:tc>
      </w:tr>
      <w:tr w14:paraId="473F2F6F">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124F5E">
            <w:pPr>
              <w:pStyle w:val="30"/>
              <w:bidi w:val="0"/>
              <w:rPr>
                <w:rFonts w:hint="eastAsia"/>
              </w:rPr>
            </w:pPr>
          </w:p>
        </w:tc>
        <w:tc>
          <w:tcPr>
            <w:tcW w:w="97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3EFA50">
            <w:pPr>
              <w:pStyle w:val="30"/>
              <w:bidi w:val="0"/>
              <w:rPr>
                <w:rFonts w:hint="eastAsia"/>
              </w:rPr>
            </w:pP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60BE03A8">
            <w:pPr>
              <w:pStyle w:val="30"/>
              <w:bidi w:val="0"/>
              <w:rPr>
                <w:rFonts w:hint="eastAsia"/>
              </w:rPr>
            </w:pPr>
            <w:r>
              <w:rPr>
                <w:rFonts w:hint="eastAsia"/>
              </w:rPr>
              <w:t>白色</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077FA35A">
            <w:pPr>
              <w:pStyle w:val="30"/>
              <w:bidi w:val="0"/>
              <w:rPr>
                <w:rFonts w:hint="eastAsia"/>
              </w:rPr>
            </w:pPr>
            <w:r>
              <w:rPr>
                <w:rFonts w:hint="eastAsia"/>
              </w:rPr>
              <w:t>黄色</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A2C17A2">
            <w:pPr>
              <w:pStyle w:val="30"/>
              <w:bidi w:val="0"/>
              <w:rPr>
                <w:rFonts w:hint="eastAsia"/>
              </w:rPr>
            </w:pPr>
            <w:r>
              <w:rPr>
                <w:rFonts w:hint="eastAsia"/>
              </w:rPr>
              <w:t>橙色</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60EE4F44">
            <w:pPr>
              <w:pStyle w:val="30"/>
              <w:bidi w:val="0"/>
              <w:rPr>
                <w:rFonts w:hint="eastAsia"/>
              </w:rPr>
            </w:pPr>
            <w:r>
              <w:rPr>
                <w:rFonts w:hint="eastAsia"/>
              </w:rPr>
              <w:t>红色</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0C723F09">
            <w:pPr>
              <w:pStyle w:val="30"/>
              <w:bidi w:val="0"/>
              <w:rPr>
                <w:rFonts w:hint="eastAsia"/>
              </w:rPr>
            </w:pPr>
            <w:r>
              <w:rPr>
                <w:rFonts w:hint="eastAsia"/>
              </w:rPr>
              <w:t>绿色</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0D3D813B">
            <w:pPr>
              <w:pStyle w:val="30"/>
              <w:bidi w:val="0"/>
              <w:rPr>
                <w:rFonts w:hint="eastAsia"/>
              </w:rPr>
            </w:pPr>
            <w:r>
              <w:rPr>
                <w:rFonts w:hint="eastAsia"/>
              </w:rPr>
              <w:t>蓝色</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1C0D1E56">
            <w:pPr>
              <w:pStyle w:val="30"/>
              <w:bidi w:val="0"/>
              <w:rPr>
                <w:rFonts w:hint="eastAsia"/>
              </w:rPr>
            </w:pPr>
            <w:r>
              <w:rPr>
                <w:rFonts w:hint="eastAsia"/>
              </w:rPr>
              <w:t>棕色</w:t>
            </w:r>
          </w:p>
        </w:tc>
      </w:tr>
      <w:tr w14:paraId="45D5BD12">
        <w:tblPrEx>
          <w:tblCellMar>
            <w:top w:w="0" w:type="dxa"/>
            <w:left w:w="108" w:type="dxa"/>
            <w:bottom w:w="0" w:type="dxa"/>
            <w:right w:w="108" w:type="dxa"/>
          </w:tblCellMar>
        </w:tblPrEx>
        <w:trPr>
          <w:trHeight w:val="502" w:hRule="exac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D96E08">
            <w:pPr>
              <w:pStyle w:val="30"/>
              <w:bidi w:val="0"/>
              <w:rPr>
                <w:rFonts w:hint="eastAsia"/>
              </w:rPr>
            </w:pPr>
          </w:p>
          <w:p w14:paraId="70D0361B">
            <w:pPr>
              <w:pStyle w:val="30"/>
              <w:bidi w:val="0"/>
              <w:rPr>
                <w:rFonts w:hint="eastAsia"/>
              </w:rPr>
            </w:pPr>
            <w:r>
              <w:rPr>
                <w:rFonts w:hint="eastAsia"/>
              </w:rPr>
              <w:t>0.2°</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798E6802">
            <w:pPr>
              <w:pStyle w:val="30"/>
              <w:bidi w:val="0"/>
              <w:rPr>
                <w:rFonts w:hint="eastAsia"/>
              </w:rPr>
            </w:pPr>
            <w:r>
              <w:rPr>
                <w:rFonts w:hint="eastAsia"/>
              </w:rPr>
              <w:t>-4°</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3FD4412E">
            <w:pPr>
              <w:pStyle w:val="30"/>
              <w:bidi w:val="0"/>
              <w:rPr>
                <w:rFonts w:hint="eastAsia"/>
              </w:rPr>
            </w:pPr>
            <w:r>
              <w:rPr>
                <w:rFonts w:hint="eastAsia"/>
              </w:rPr>
              <w:t>140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56BE6A6C">
            <w:pPr>
              <w:pStyle w:val="30"/>
              <w:bidi w:val="0"/>
              <w:rPr>
                <w:rFonts w:hint="eastAsia"/>
              </w:rPr>
            </w:pPr>
            <w:r>
              <w:rPr>
                <w:rFonts w:hint="eastAsia"/>
              </w:rPr>
              <w:t>100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7A40AB86">
            <w:pPr>
              <w:pStyle w:val="30"/>
              <w:bidi w:val="0"/>
              <w:rPr>
                <w:rFonts w:hint="eastAsia"/>
              </w:rPr>
            </w:pPr>
            <w:r>
              <w:rPr>
                <w:rFonts w:hint="eastAsia"/>
              </w:rPr>
              <w:t>60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4A661E05">
            <w:pPr>
              <w:pStyle w:val="30"/>
              <w:bidi w:val="0"/>
              <w:rPr>
                <w:rFonts w:hint="eastAsia"/>
              </w:rPr>
            </w:pPr>
            <w:r>
              <w:rPr>
                <w:rFonts w:hint="eastAsia"/>
              </w:rPr>
              <w:t>30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370C0EA5">
            <w:pPr>
              <w:pStyle w:val="30"/>
              <w:bidi w:val="0"/>
              <w:rPr>
                <w:rFonts w:hint="eastAsia"/>
              </w:rPr>
            </w:pPr>
            <w:r>
              <w:rPr>
                <w:rFonts w:hint="eastAsia"/>
              </w:rPr>
              <w:t>30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66B1E0A">
            <w:pPr>
              <w:pStyle w:val="30"/>
              <w:bidi w:val="0"/>
              <w:rPr>
                <w:rFonts w:hint="eastAsia"/>
              </w:rPr>
            </w:pPr>
            <w:r>
              <w:rPr>
                <w:rFonts w:hint="eastAsia"/>
              </w:rPr>
              <w:t>10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6DEB9332">
            <w:pPr>
              <w:pStyle w:val="30"/>
              <w:bidi w:val="0"/>
              <w:rPr>
                <w:rFonts w:hint="eastAsia"/>
              </w:rPr>
            </w:pPr>
            <w:r>
              <w:rPr>
                <w:rFonts w:hint="eastAsia"/>
              </w:rPr>
              <w:t>5.0</w:t>
            </w:r>
          </w:p>
        </w:tc>
      </w:tr>
      <w:tr w14:paraId="479F2025">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DCC447">
            <w:pPr>
              <w:pStyle w:val="30"/>
              <w:bidi w:val="0"/>
              <w:rPr>
                <w:rFonts w:hint="eastAsia"/>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79DBD8E5">
            <w:pPr>
              <w:pStyle w:val="30"/>
              <w:bidi w:val="0"/>
              <w:rPr>
                <w:rFonts w:hint="eastAsia"/>
              </w:rPr>
            </w:pPr>
            <w:r>
              <w:rPr>
                <w:rFonts w:hint="eastAsia"/>
              </w:rPr>
              <w:t>15°</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3A0944E9">
            <w:pPr>
              <w:pStyle w:val="30"/>
              <w:bidi w:val="0"/>
              <w:rPr>
                <w:rFonts w:hint="eastAsia"/>
              </w:rPr>
            </w:pPr>
            <w:r>
              <w:rPr>
                <w:rFonts w:hint="eastAsia"/>
              </w:rPr>
              <w:t>110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6353C600">
            <w:pPr>
              <w:pStyle w:val="30"/>
              <w:bidi w:val="0"/>
              <w:rPr>
                <w:rFonts w:hint="eastAsia"/>
              </w:rPr>
            </w:pPr>
            <w:r>
              <w:rPr>
                <w:rFonts w:hint="eastAsia"/>
              </w:rPr>
              <w:t>80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52CF627D">
            <w:pPr>
              <w:pStyle w:val="30"/>
              <w:bidi w:val="0"/>
              <w:rPr>
                <w:rFonts w:hint="eastAsia"/>
              </w:rPr>
            </w:pPr>
            <w:r>
              <w:rPr>
                <w:rFonts w:hint="eastAsia"/>
              </w:rPr>
              <w:t>41</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39474512">
            <w:pPr>
              <w:pStyle w:val="30"/>
              <w:bidi w:val="0"/>
              <w:rPr>
                <w:rFonts w:hint="eastAsia"/>
              </w:rPr>
            </w:pPr>
            <w:r>
              <w:rPr>
                <w:rFonts w:hint="eastAsia"/>
              </w:rPr>
              <w:t>22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70B17D59">
            <w:pPr>
              <w:pStyle w:val="30"/>
              <w:bidi w:val="0"/>
              <w:rPr>
                <w:rFonts w:hint="eastAsia"/>
              </w:rPr>
            </w:pPr>
            <w:r>
              <w:rPr>
                <w:rFonts w:hint="eastAsia"/>
              </w:rPr>
              <w:t>22</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CA77B14">
            <w:pPr>
              <w:pStyle w:val="30"/>
              <w:bidi w:val="0"/>
              <w:rPr>
                <w:rFonts w:hint="eastAsia"/>
              </w:rPr>
            </w:pPr>
            <w:r>
              <w:rPr>
                <w:rFonts w:hint="eastAsia"/>
              </w:rPr>
              <w:t>8.0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5E639DD0">
            <w:pPr>
              <w:pStyle w:val="30"/>
              <w:bidi w:val="0"/>
              <w:rPr>
                <w:rFonts w:hint="eastAsia"/>
              </w:rPr>
            </w:pPr>
            <w:r>
              <w:rPr>
                <w:rFonts w:hint="eastAsia"/>
              </w:rPr>
              <w:t>3.5</w:t>
            </w:r>
          </w:p>
        </w:tc>
      </w:tr>
      <w:tr w14:paraId="61FDF131">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881BB5">
            <w:pPr>
              <w:pStyle w:val="30"/>
              <w:bidi w:val="0"/>
              <w:rPr>
                <w:rFonts w:hint="eastAsia"/>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1DC347F6">
            <w:pPr>
              <w:pStyle w:val="30"/>
              <w:bidi w:val="0"/>
              <w:rPr>
                <w:rFonts w:hint="eastAsia"/>
              </w:rPr>
            </w:pPr>
            <w:r>
              <w:rPr>
                <w:rFonts w:hint="eastAsia"/>
              </w:rPr>
              <w:t>30°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561F96D1">
            <w:pPr>
              <w:pStyle w:val="30"/>
              <w:bidi w:val="0"/>
              <w:rPr>
                <w:rFonts w:hint="eastAsia"/>
              </w:rPr>
            </w:pPr>
            <w:r>
              <w:rPr>
                <w:rFonts w:hint="eastAsia"/>
              </w:rPr>
              <w:t>60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69167459">
            <w:pPr>
              <w:pStyle w:val="30"/>
              <w:bidi w:val="0"/>
              <w:rPr>
                <w:rFonts w:hint="eastAsia"/>
              </w:rPr>
            </w:pPr>
            <w:r>
              <w:rPr>
                <w:rFonts w:hint="eastAsia"/>
              </w:rPr>
              <w:t>36</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B0EA5A1">
            <w:pPr>
              <w:pStyle w:val="30"/>
              <w:bidi w:val="0"/>
              <w:rPr>
                <w:rFonts w:hint="eastAsia"/>
              </w:rPr>
            </w:pPr>
            <w:r>
              <w:rPr>
                <w:rFonts w:hint="eastAsia"/>
              </w:rPr>
              <w:t>22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3283B2B0">
            <w:pPr>
              <w:pStyle w:val="30"/>
              <w:bidi w:val="0"/>
              <w:rPr>
                <w:rFonts w:hint="eastAsia"/>
              </w:rPr>
            </w:pPr>
            <w:r>
              <w:rPr>
                <w:rFonts w:hint="eastAsia"/>
              </w:rPr>
              <w:t>12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10716634">
            <w:pPr>
              <w:pStyle w:val="30"/>
              <w:bidi w:val="0"/>
              <w:rPr>
                <w:rFonts w:hint="eastAsia"/>
              </w:rPr>
            </w:pPr>
            <w:r>
              <w:rPr>
                <w:rFonts w:hint="eastAsia"/>
              </w:rPr>
              <w:t>12</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FA41B11">
            <w:pPr>
              <w:pStyle w:val="30"/>
              <w:bidi w:val="0"/>
              <w:rPr>
                <w:rFonts w:hint="eastAsia"/>
              </w:rPr>
            </w:pPr>
            <w:r>
              <w:rPr>
                <w:rFonts w:hint="eastAsia"/>
              </w:rPr>
              <w:t>4.0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6CD0CD9E">
            <w:pPr>
              <w:pStyle w:val="30"/>
              <w:bidi w:val="0"/>
              <w:rPr>
                <w:rFonts w:hint="eastAsia"/>
              </w:rPr>
            </w:pPr>
            <w:r>
              <w:rPr>
                <w:rFonts w:hint="eastAsia"/>
              </w:rPr>
              <w:t>2.0</w:t>
            </w:r>
          </w:p>
        </w:tc>
      </w:tr>
      <w:tr w14:paraId="501B611F">
        <w:tblPrEx>
          <w:tblCellMar>
            <w:top w:w="0" w:type="dxa"/>
            <w:left w:w="108" w:type="dxa"/>
            <w:bottom w:w="0" w:type="dxa"/>
            <w:right w:w="108" w:type="dxa"/>
          </w:tblCellMar>
        </w:tblPrEx>
        <w:trPr>
          <w:trHeight w:val="502" w:hRule="exac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1202E4">
            <w:pPr>
              <w:pStyle w:val="30"/>
              <w:bidi w:val="0"/>
              <w:rPr>
                <w:rFonts w:hint="eastAsia"/>
              </w:rPr>
            </w:pPr>
          </w:p>
          <w:p w14:paraId="3B46E66C">
            <w:pPr>
              <w:pStyle w:val="30"/>
              <w:bidi w:val="0"/>
              <w:rPr>
                <w:rFonts w:hint="eastAsia"/>
              </w:rPr>
            </w:pPr>
            <w:r>
              <w:rPr>
                <w:rFonts w:hint="eastAsia"/>
              </w:rPr>
              <w:t>0.5°</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78F42D3A">
            <w:pPr>
              <w:pStyle w:val="30"/>
              <w:bidi w:val="0"/>
              <w:rPr>
                <w:rFonts w:hint="eastAsia"/>
              </w:rPr>
            </w:pPr>
            <w:r>
              <w:rPr>
                <w:rFonts w:hint="eastAsia"/>
              </w:rPr>
              <w:t>-4°</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029D312B">
            <w:pPr>
              <w:pStyle w:val="30"/>
              <w:bidi w:val="0"/>
              <w:rPr>
                <w:rFonts w:hint="eastAsia"/>
              </w:rPr>
            </w:pPr>
            <w:r>
              <w:rPr>
                <w:rFonts w:hint="eastAsia"/>
              </w:rPr>
              <w:t>50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3C56554F">
            <w:pPr>
              <w:pStyle w:val="30"/>
              <w:bidi w:val="0"/>
              <w:rPr>
                <w:rFonts w:hint="eastAsia"/>
              </w:rPr>
            </w:pPr>
            <w:r>
              <w:rPr>
                <w:rFonts w:hint="eastAsia"/>
              </w:rPr>
              <w:t>33</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0C6E8D4A">
            <w:pPr>
              <w:pStyle w:val="30"/>
              <w:bidi w:val="0"/>
              <w:rPr>
                <w:rFonts w:hint="eastAsia"/>
              </w:rPr>
            </w:pPr>
            <w:r>
              <w:rPr>
                <w:rFonts w:hint="eastAsia"/>
              </w:rPr>
              <w:t>20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3F8F3D0F">
            <w:pPr>
              <w:pStyle w:val="30"/>
              <w:bidi w:val="0"/>
              <w:rPr>
                <w:rFonts w:hint="eastAsia"/>
              </w:rPr>
            </w:pPr>
            <w:r>
              <w:rPr>
                <w:rFonts w:hint="eastAsia"/>
              </w:rPr>
              <w:t>10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50D524DC">
            <w:pPr>
              <w:pStyle w:val="30"/>
              <w:bidi w:val="0"/>
              <w:rPr>
                <w:rFonts w:hint="eastAsia"/>
              </w:rPr>
            </w:pPr>
            <w:r>
              <w:rPr>
                <w:rFonts w:hint="eastAsia"/>
              </w:rPr>
              <w:t>9.0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2130715A">
            <w:pPr>
              <w:pStyle w:val="30"/>
              <w:bidi w:val="0"/>
              <w:rPr>
                <w:rFonts w:hint="eastAsia"/>
              </w:rPr>
            </w:pPr>
            <w:r>
              <w:rPr>
                <w:rFonts w:hint="eastAsia"/>
              </w:rPr>
              <w:t>3.0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300EC332">
            <w:pPr>
              <w:pStyle w:val="30"/>
              <w:bidi w:val="0"/>
              <w:rPr>
                <w:rFonts w:hint="eastAsia"/>
              </w:rPr>
            </w:pPr>
            <w:r>
              <w:rPr>
                <w:rFonts w:hint="eastAsia"/>
              </w:rPr>
              <w:t>2.0</w:t>
            </w:r>
          </w:p>
        </w:tc>
      </w:tr>
      <w:tr w14:paraId="45F03660">
        <w:tblPrEx>
          <w:tblCellMar>
            <w:top w:w="0" w:type="dxa"/>
            <w:left w:w="108" w:type="dxa"/>
            <w:bottom w:w="0" w:type="dxa"/>
            <w:right w:w="108" w:type="dxa"/>
          </w:tblCellMar>
        </w:tblPrEx>
        <w:trPr>
          <w:trHeight w:val="498"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9DCFF0">
            <w:pPr>
              <w:pStyle w:val="30"/>
              <w:bidi w:val="0"/>
              <w:rPr>
                <w:rFonts w:hint="eastAsia"/>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0AAFD789">
            <w:pPr>
              <w:pStyle w:val="30"/>
              <w:bidi w:val="0"/>
              <w:rPr>
                <w:rFonts w:hint="eastAsia"/>
              </w:rPr>
            </w:pPr>
            <w:r>
              <w:rPr>
                <w:rFonts w:hint="eastAsia"/>
              </w:rPr>
              <w:t>15°</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340CE680">
            <w:pPr>
              <w:pStyle w:val="30"/>
              <w:bidi w:val="0"/>
              <w:rPr>
                <w:rFonts w:hint="eastAsia"/>
              </w:rPr>
            </w:pPr>
            <w:r>
              <w:rPr>
                <w:rFonts w:hint="eastAsia"/>
              </w:rPr>
              <w:t>39</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50D99E37">
            <w:pPr>
              <w:pStyle w:val="30"/>
              <w:bidi w:val="0"/>
              <w:rPr>
                <w:rFonts w:hint="eastAsia"/>
              </w:rPr>
            </w:pPr>
            <w:r>
              <w:rPr>
                <w:rFonts w:hint="eastAsia"/>
              </w:rPr>
              <w:t>27</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72A59DEA">
            <w:pPr>
              <w:pStyle w:val="30"/>
              <w:bidi w:val="0"/>
              <w:rPr>
                <w:rFonts w:hint="eastAsia"/>
              </w:rPr>
            </w:pPr>
            <w:r>
              <w:rPr>
                <w:rFonts w:hint="eastAsia"/>
              </w:rPr>
              <w:t>16</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4E3372E3">
            <w:pPr>
              <w:pStyle w:val="30"/>
              <w:bidi w:val="0"/>
              <w:rPr>
                <w:rFonts w:hint="eastAsia"/>
              </w:rPr>
            </w:pPr>
            <w:r>
              <w:rPr>
                <w:rFonts w:hint="eastAsia"/>
              </w:rPr>
              <w:t>8.0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0D8E72E5">
            <w:pPr>
              <w:pStyle w:val="30"/>
              <w:bidi w:val="0"/>
              <w:rPr>
                <w:rFonts w:hint="eastAsia"/>
              </w:rPr>
            </w:pPr>
            <w:r>
              <w:rPr>
                <w:rFonts w:hint="eastAsia"/>
              </w:rPr>
              <w:t>7.5</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217A4642">
            <w:pPr>
              <w:pStyle w:val="30"/>
              <w:bidi w:val="0"/>
              <w:rPr>
                <w:rFonts w:hint="eastAsia"/>
              </w:rPr>
            </w:pPr>
            <w:r>
              <w:rPr>
                <w:rFonts w:hint="eastAsia"/>
              </w:rPr>
              <w:t>2.5</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1644E7F5">
            <w:pPr>
              <w:pStyle w:val="30"/>
              <w:bidi w:val="0"/>
              <w:rPr>
                <w:rFonts w:hint="eastAsia"/>
              </w:rPr>
            </w:pPr>
            <w:r>
              <w:rPr>
                <w:rFonts w:hint="eastAsia"/>
              </w:rPr>
              <w:t>1.5</w:t>
            </w:r>
          </w:p>
        </w:tc>
      </w:tr>
      <w:tr w14:paraId="6764F7B2">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6FAFEE">
            <w:pPr>
              <w:pStyle w:val="30"/>
              <w:bidi w:val="0"/>
              <w:rPr>
                <w:rFonts w:hint="eastAsia"/>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77DD20D3">
            <w:pPr>
              <w:pStyle w:val="30"/>
              <w:bidi w:val="0"/>
              <w:rPr>
                <w:rFonts w:hint="eastAsia"/>
              </w:rPr>
            </w:pPr>
            <w:r>
              <w:rPr>
                <w:rFonts w:hint="eastAsia"/>
              </w:rPr>
              <w:t>30°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47736D00">
            <w:pPr>
              <w:pStyle w:val="30"/>
              <w:bidi w:val="0"/>
              <w:rPr>
                <w:rFonts w:hint="eastAsia"/>
              </w:rPr>
            </w:pPr>
            <w:r>
              <w:rPr>
                <w:rFonts w:hint="eastAsia"/>
              </w:rPr>
              <w:t>28</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01ED17E8">
            <w:pPr>
              <w:pStyle w:val="30"/>
              <w:bidi w:val="0"/>
              <w:rPr>
                <w:rFonts w:hint="eastAsia"/>
              </w:rPr>
            </w:pPr>
            <w:r>
              <w:rPr>
                <w:rFonts w:hint="eastAsia"/>
              </w:rPr>
              <w:t>20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5C8E301A">
            <w:pPr>
              <w:pStyle w:val="30"/>
              <w:bidi w:val="0"/>
              <w:rPr>
                <w:rFonts w:hint="eastAsia"/>
              </w:rPr>
            </w:pPr>
            <w:r>
              <w:rPr>
                <w:rFonts w:hint="eastAsia"/>
              </w:rPr>
              <w:t>12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225E9D2A">
            <w:pPr>
              <w:pStyle w:val="30"/>
              <w:bidi w:val="0"/>
              <w:rPr>
                <w:rFonts w:hint="eastAsia"/>
              </w:rPr>
            </w:pPr>
            <w:r>
              <w:rPr>
                <w:rFonts w:hint="eastAsia"/>
              </w:rPr>
              <w:t>6.0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671E13F3">
            <w:pPr>
              <w:pStyle w:val="30"/>
              <w:bidi w:val="0"/>
              <w:rPr>
                <w:rFonts w:hint="eastAsia"/>
              </w:rPr>
            </w:pPr>
            <w:r>
              <w:rPr>
                <w:rFonts w:hint="eastAsia"/>
              </w:rPr>
              <w:t>6.0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00151B03">
            <w:pPr>
              <w:pStyle w:val="30"/>
              <w:bidi w:val="0"/>
              <w:rPr>
                <w:rFonts w:hint="eastAsia"/>
              </w:rPr>
            </w:pPr>
            <w:r>
              <w:rPr>
                <w:rFonts w:hint="eastAsia"/>
              </w:rPr>
              <w:t>2.0</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19D1342B">
            <w:pPr>
              <w:pStyle w:val="30"/>
              <w:bidi w:val="0"/>
              <w:rPr>
                <w:rFonts w:hint="eastAsia"/>
              </w:rPr>
            </w:pPr>
            <w:r>
              <w:rPr>
                <w:rFonts w:hint="eastAsia"/>
              </w:rPr>
              <w:t>1.0</w:t>
            </w:r>
          </w:p>
        </w:tc>
      </w:tr>
      <w:tr w14:paraId="1FAAEE7C">
        <w:tblPrEx>
          <w:tblCellMar>
            <w:top w:w="0" w:type="dxa"/>
            <w:left w:w="108" w:type="dxa"/>
            <w:bottom w:w="0" w:type="dxa"/>
            <w:right w:w="108" w:type="dxa"/>
          </w:tblCellMar>
        </w:tblPrEx>
        <w:trPr>
          <w:trHeight w:val="502" w:hRule="exac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5D6BD9">
            <w:pPr>
              <w:pStyle w:val="30"/>
              <w:bidi w:val="0"/>
              <w:rPr>
                <w:rFonts w:hint="eastAsia"/>
              </w:rPr>
            </w:pPr>
          </w:p>
          <w:p w14:paraId="56E17D71">
            <w:pPr>
              <w:pStyle w:val="30"/>
              <w:bidi w:val="0"/>
              <w:rPr>
                <w:rFonts w:hint="eastAsia"/>
              </w:rPr>
            </w:pPr>
            <w:r>
              <w:rPr>
                <w:rFonts w:hint="eastAsia"/>
              </w:rPr>
              <w:t>1°</w:t>
            </w: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47147292">
            <w:pPr>
              <w:pStyle w:val="30"/>
              <w:bidi w:val="0"/>
              <w:rPr>
                <w:rFonts w:hint="eastAsia"/>
              </w:rPr>
            </w:pPr>
            <w:r>
              <w:rPr>
                <w:rFonts w:hint="eastAsia"/>
              </w:rPr>
              <w:t>-4°</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43C8134F">
            <w:pPr>
              <w:pStyle w:val="30"/>
              <w:bidi w:val="0"/>
              <w:rPr>
                <w:rFonts w:hint="eastAsia"/>
              </w:rPr>
            </w:pPr>
            <w:r>
              <w:rPr>
                <w:rFonts w:hint="eastAsia"/>
              </w:rPr>
              <w:t>11</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464213F9">
            <w:pPr>
              <w:pStyle w:val="30"/>
              <w:bidi w:val="0"/>
              <w:rPr>
                <w:rFonts w:hint="eastAsia"/>
              </w:rPr>
            </w:pPr>
            <w:r>
              <w:rPr>
                <w:rFonts w:hint="eastAsia"/>
              </w:rPr>
              <w:t>6.0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7E9C94F">
            <w:pPr>
              <w:pStyle w:val="30"/>
              <w:bidi w:val="0"/>
              <w:rPr>
                <w:rFonts w:hint="eastAsia"/>
              </w:rPr>
            </w:pPr>
            <w:r>
              <w:rPr>
                <w:rFonts w:hint="eastAsia"/>
              </w:rPr>
              <w:t>3.9</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1DEBA995">
            <w:pPr>
              <w:pStyle w:val="30"/>
              <w:bidi w:val="0"/>
              <w:rPr>
                <w:rFonts w:hint="eastAsia"/>
              </w:rPr>
            </w:pPr>
            <w:r>
              <w:rPr>
                <w:rFonts w:hint="eastAsia"/>
              </w:rPr>
              <w:t>2.5</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0FACFA41">
            <w:pPr>
              <w:pStyle w:val="30"/>
              <w:bidi w:val="0"/>
              <w:rPr>
                <w:rFonts w:hint="eastAsia"/>
              </w:rPr>
            </w:pPr>
            <w:r>
              <w:rPr>
                <w:rFonts w:hint="eastAsia"/>
              </w:rPr>
              <w:t>2.5</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A20445F">
            <w:pPr>
              <w:pStyle w:val="30"/>
              <w:bidi w:val="0"/>
              <w:rPr>
                <w:rFonts w:hint="eastAsia"/>
              </w:rPr>
            </w:pPr>
            <w:r>
              <w:rPr>
                <w:rFonts w:hint="eastAsia"/>
              </w:rPr>
              <w:t>0.8</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5E987DC3">
            <w:pPr>
              <w:pStyle w:val="30"/>
              <w:bidi w:val="0"/>
              <w:rPr>
                <w:rFonts w:hint="eastAsia"/>
              </w:rPr>
            </w:pPr>
            <w:r>
              <w:rPr>
                <w:rFonts w:hint="eastAsia"/>
              </w:rPr>
              <w:t>0.6</w:t>
            </w:r>
          </w:p>
        </w:tc>
      </w:tr>
      <w:tr w14:paraId="123221D6">
        <w:tblPrEx>
          <w:tblCellMar>
            <w:top w:w="0" w:type="dxa"/>
            <w:left w:w="108" w:type="dxa"/>
            <w:bottom w:w="0" w:type="dxa"/>
            <w:right w:w="108" w:type="dxa"/>
          </w:tblCellMar>
        </w:tblPrEx>
        <w:trPr>
          <w:trHeight w:val="50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3CE4D0">
            <w:pPr>
              <w:pStyle w:val="30"/>
              <w:bidi w:val="0"/>
              <w:rPr>
                <w:rFonts w:hint="eastAsia"/>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2334C21F">
            <w:pPr>
              <w:pStyle w:val="30"/>
              <w:bidi w:val="0"/>
              <w:rPr>
                <w:rFonts w:hint="eastAsia"/>
              </w:rPr>
            </w:pPr>
            <w:r>
              <w:rPr>
                <w:rFonts w:hint="eastAsia"/>
              </w:rPr>
              <w:t>15°</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26C3D1F9">
            <w:pPr>
              <w:pStyle w:val="30"/>
              <w:bidi w:val="0"/>
              <w:rPr>
                <w:rFonts w:hint="eastAsia"/>
              </w:rPr>
            </w:pPr>
            <w:r>
              <w:rPr>
                <w:rFonts w:hint="eastAsia"/>
              </w:rPr>
              <w:t>9.0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6672B87D">
            <w:pPr>
              <w:pStyle w:val="30"/>
              <w:bidi w:val="0"/>
              <w:rPr>
                <w:rFonts w:hint="eastAsia"/>
              </w:rPr>
            </w:pPr>
            <w:r>
              <w:rPr>
                <w:rFonts w:hint="eastAsia"/>
              </w:rPr>
              <w:t>4.0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4DB1E08">
            <w:pPr>
              <w:pStyle w:val="30"/>
              <w:bidi w:val="0"/>
              <w:rPr>
                <w:rFonts w:hint="eastAsia"/>
              </w:rPr>
            </w:pPr>
            <w:r>
              <w:rPr>
                <w:rFonts w:hint="eastAsia"/>
              </w:rPr>
              <w:t>3.2</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23C5E9BD">
            <w:pPr>
              <w:pStyle w:val="30"/>
              <w:bidi w:val="0"/>
              <w:rPr>
                <w:rFonts w:hint="eastAsia"/>
              </w:rPr>
            </w:pPr>
            <w:r>
              <w:rPr>
                <w:rFonts w:hint="eastAsia"/>
              </w:rPr>
              <w:t>1.6</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11B5A70F">
            <w:pPr>
              <w:pStyle w:val="30"/>
              <w:bidi w:val="0"/>
              <w:rPr>
                <w:rFonts w:hint="eastAsia"/>
              </w:rPr>
            </w:pPr>
            <w:r>
              <w:rPr>
                <w:rFonts w:hint="eastAsia"/>
              </w:rPr>
              <w:t>1.6</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2EF092BE">
            <w:pPr>
              <w:pStyle w:val="30"/>
              <w:bidi w:val="0"/>
              <w:rPr>
                <w:rFonts w:hint="eastAsia"/>
              </w:rPr>
            </w:pPr>
            <w:r>
              <w:rPr>
                <w:rFonts w:hint="eastAsia"/>
              </w:rPr>
              <w:t>0.6</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5C94B8C2">
            <w:pPr>
              <w:pStyle w:val="30"/>
              <w:bidi w:val="0"/>
              <w:rPr>
                <w:rFonts w:hint="eastAsia"/>
              </w:rPr>
            </w:pPr>
            <w:r>
              <w:rPr>
                <w:rFonts w:hint="eastAsia"/>
              </w:rPr>
              <w:t>0.4</w:t>
            </w:r>
          </w:p>
        </w:tc>
      </w:tr>
      <w:tr w14:paraId="42289C74">
        <w:tblPrEx>
          <w:tblCellMar>
            <w:top w:w="0" w:type="dxa"/>
            <w:left w:w="108" w:type="dxa"/>
            <w:bottom w:w="0" w:type="dxa"/>
            <w:right w:w="108" w:type="dxa"/>
          </w:tblCellMar>
        </w:tblPrEx>
        <w:trPr>
          <w:trHeight w:val="532" w:hRule="exac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BF7412">
            <w:pPr>
              <w:pStyle w:val="30"/>
              <w:bidi w:val="0"/>
              <w:rPr>
                <w:rFonts w:hint="eastAsia"/>
              </w:rPr>
            </w:pPr>
          </w:p>
        </w:tc>
        <w:tc>
          <w:tcPr>
            <w:tcW w:w="972" w:type="dxa"/>
            <w:tcBorders>
              <w:top w:val="single" w:color="000000" w:sz="4" w:space="0"/>
              <w:left w:val="single" w:color="000000" w:sz="4" w:space="0"/>
              <w:bottom w:val="single" w:color="000000" w:sz="4" w:space="0"/>
              <w:right w:val="single" w:color="000000" w:sz="4" w:space="0"/>
            </w:tcBorders>
            <w:noWrap w:val="0"/>
            <w:vAlign w:val="center"/>
          </w:tcPr>
          <w:p w14:paraId="3150B71E">
            <w:pPr>
              <w:pStyle w:val="30"/>
              <w:bidi w:val="0"/>
              <w:rPr>
                <w:rFonts w:hint="eastAsia"/>
              </w:rPr>
            </w:pPr>
            <w:r>
              <w:rPr>
                <w:rFonts w:hint="eastAsia"/>
              </w:rPr>
              <w:t>30°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627BAD7C">
            <w:pPr>
              <w:pStyle w:val="30"/>
              <w:bidi w:val="0"/>
              <w:rPr>
                <w:rFonts w:hint="eastAsia"/>
              </w:rPr>
            </w:pPr>
            <w:r>
              <w:rPr>
                <w:rFonts w:hint="eastAsia"/>
              </w:rPr>
              <w:t>5.0</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6FE545D5">
            <w:pPr>
              <w:pStyle w:val="30"/>
              <w:bidi w:val="0"/>
              <w:rPr>
                <w:rFonts w:hint="eastAsia"/>
              </w:rPr>
            </w:pPr>
            <w:r>
              <w:rPr>
                <w:rFonts w:hint="eastAsia"/>
              </w:rPr>
              <w:t>2.0</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737C7B04">
            <w:pPr>
              <w:pStyle w:val="30"/>
              <w:bidi w:val="0"/>
              <w:rPr>
                <w:rFonts w:hint="eastAsia"/>
              </w:rPr>
            </w:pPr>
            <w:r>
              <w:rPr>
                <w:rFonts w:hint="eastAsia"/>
              </w:rPr>
              <w:t>1.8</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11EA8525">
            <w:pPr>
              <w:pStyle w:val="30"/>
              <w:bidi w:val="0"/>
              <w:rPr>
                <w:rFonts w:hint="eastAsia"/>
              </w:rPr>
            </w:pPr>
            <w:r>
              <w:rPr>
                <w:rFonts w:hint="eastAsia"/>
              </w:rPr>
              <w:t>0.8</w:t>
            </w:r>
          </w:p>
        </w:tc>
        <w:tc>
          <w:tcPr>
            <w:tcW w:w="1163" w:type="dxa"/>
            <w:tcBorders>
              <w:top w:val="single" w:color="000000" w:sz="4" w:space="0"/>
              <w:left w:val="single" w:color="000000" w:sz="4" w:space="0"/>
              <w:bottom w:val="single" w:color="000000" w:sz="4" w:space="0"/>
              <w:right w:val="single" w:color="000000" w:sz="4" w:space="0"/>
            </w:tcBorders>
            <w:noWrap w:val="0"/>
            <w:vAlign w:val="center"/>
          </w:tcPr>
          <w:p w14:paraId="0133BC32">
            <w:pPr>
              <w:pStyle w:val="30"/>
              <w:bidi w:val="0"/>
              <w:rPr>
                <w:rFonts w:hint="eastAsia"/>
              </w:rPr>
            </w:pPr>
            <w:r>
              <w:rPr>
                <w:rFonts w:hint="eastAsia"/>
              </w:rPr>
              <w:t>0.8</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40281DD">
            <w:pPr>
              <w:pStyle w:val="30"/>
              <w:bidi w:val="0"/>
              <w:rPr>
                <w:rFonts w:hint="eastAsia"/>
              </w:rPr>
            </w:pPr>
            <w:r>
              <w:rPr>
                <w:rFonts w:hint="eastAsia"/>
              </w:rPr>
              <w:t>0.3</w:t>
            </w:r>
          </w:p>
        </w:tc>
        <w:tc>
          <w:tcPr>
            <w:tcW w:w="1242" w:type="dxa"/>
            <w:tcBorders>
              <w:top w:val="single" w:color="000000" w:sz="4" w:space="0"/>
              <w:left w:val="single" w:color="000000" w:sz="4" w:space="0"/>
              <w:bottom w:val="single" w:color="000000" w:sz="4" w:space="0"/>
              <w:right w:val="single" w:color="000000" w:sz="4" w:space="0"/>
            </w:tcBorders>
            <w:noWrap w:val="0"/>
            <w:vAlign w:val="center"/>
          </w:tcPr>
          <w:p w14:paraId="5AB2F7DF">
            <w:pPr>
              <w:pStyle w:val="30"/>
              <w:bidi w:val="0"/>
              <w:rPr>
                <w:rFonts w:hint="eastAsia"/>
              </w:rPr>
            </w:pPr>
            <w:r>
              <w:rPr>
                <w:rFonts w:hint="eastAsia"/>
              </w:rPr>
              <w:t>0.2</w:t>
            </w:r>
          </w:p>
        </w:tc>
      </w:tr>
    </w:tbl>
    <w:p w14:paraId="55CDE9D8">
      <w:pPr>
        <w:pStyle w:val="4"/>
        <w:bidi w:val="0"/>
        <w:ind w:left="720" w:leftChars="0" w:hanging="720" w:firstLineChars="0"/>
        <w:rPr>
          <w:rFonts w:hint="eastAsia"/>
        </w:rPr>
      </w:pPr>
      <w:r>
        <w:rPr>
          <w:rFonts w:hint="eastAsia"/>
        </w:rPr>
        <w:t>标志制作</w:t>
      </w:r>
    </w:p>
    <w:p w14:paraId="7F35E45C">
      <w:pPr>
        <w:spacing w:line="480" w:lineRule="exact"/>
        <w:ind w:firstLine="480" w:firstLineChars="200"/>
        <w:rPr>
          <w:rFonts w:hint="eastAsia" w:ascii="宋体" w:hAnsi="宋体"/>
          <w:sz w:val="24"/>
        </w:rPr>
      </w:pPr>
      <w:r>
        <w:rPr>
          <w:rFonts w:hint="eastAsia" w:ascii="宋体" w:hAnsi="宋体"/>
          <w:sz w:val="24"/>
        </w:rPr>
        <w:t>交通标志必须按本设计制作，不得任意修改，标志板的制作应符合《公路交通标志板技术条件》（JT/T279-2004）的有关规定，厂商生产的交通标志需经持有CMA标志和国家计量认证单位检测。</w:t>
      </w:r>
    </w:p>
    <w:p w14:paraId="1EB2A74A">
      <w:pPr>
        <w:numPr>
          <w:ilvl w:val="0"/>
          <w:numId w:val="3"/>
        </w:numPr>
        <w:ind w:firstLine="480"/>
        <w:rPr>
          <w:rFonts w:hint="eastAsia" w:ascii="宋体" w:hAnsi="宋体" w:eastAsia="宋体" w:cs="宋体"/>
          <w:szCs w:val="22"/>
        </w:rPr>
      </w:pPr>
      <w:r>
        <w:rPr>
          <w:rFonts w:hint="eastAsia" w:ascii="宋体" w:hAnsi="宋体" w:eastAsia="宋体" w:cs="宋体"/>
          <w:szCs w:val="22"/>
        </w:rPr>
        <w:t>标志版面的生产，主要有制板、刻膜、贴膜三道工序，其中以标志板连接和贴膜最重要。一般采用焊接、铆接等方法来生产标志板，须保证板的平整度、铆的质量，对接缝应进行严格的处理，板面的铆钉头应打磨平滑；</w:t>
      </w:r>
    </w:p>
    <w:p w14:paraId="3417AB3F">
      <w:pPr>
        <w:numPr>
          <w:ilvl w:val="0"/>
          <w:numId w:val="3"/>
        </w:numPr>
        <w:ind w:firstLine="480"/>
        <w:rPr>
          <w:rFonts w:hint="eastAsia" w:ascii="宋体" w:hAnsi="宋体" w:eastAsia="宋体" w:cs="宋体"/>
          <w:szCs w:val="22"/>
        </w:rPr>
      </w:pPr>
      <w:r>
        <w:rPr>
          <w:rFonts w:hint="eastAsia" w:ascii="宋体" w:hAnsi="宋体" w:eastAsia="宋体" w:cs="宋体"/>
          <w:szCs w:val="22"/>
        </w:rPr>
        <w:t>贴反光膜时要求底板平整、清洁、干燥，同时贴膜车间应保持清洁，温度、湿度控制在一定的范围，否则将导致气泡和皱折的产生；</w:t>
      </w:r>
    </w:p>
    <w:p w14:paraId="58BD4F3A">
      <w:pPr>
        <w:numPr>
          <w:ilvl w:val="0"/>
          <w:numId w:val="3"/>
        </w:numPr>
        <w:ind w:firstLine="480"/>
        <w:rPr>
          <w:rFonts w:hint="eastAsia" w:ascii="宋体" w:hAnsi="宋体" w:eastAsia="宋体" w:cs="宋体"/>
          <w:szCs w:val="22"/>
        </w:rPr>
      </w:pPr>
      <w:r>
        <w:rPr>
          <w:rFonts w:hint="eastAsia" w:ascii="宋体" w:hAnsi="宋体" w:eastAsia="宋体" w:cs="宋体"/>
          <w:szCs w:val="22"/>
        </w:rPr>
        <w:t>标志版面应无裂缝或其他表面缺陷，标志板边缘应整齐、光滑，标志板的外形尺寸偏差为±5mm，若外形尺寸大于1.2m2时其偏差为外形尺寸的±5%。标志板应平整，表面无明显的皱纹、凹痕或变形，每平方米范围内的平整度公差不应大于1.0mm；</w:t>
      </w:r>
    </w:p>
    <w:p w14:paraId="1137B5AE">
      <w:pPr>
        <w:numPr>
          <w:ilvl w:val="0"/>
          <w:numId w:val="3"/>
        </w:numPr>
        <w:ind w:firstLine="480"/>
        <w:rPr>
          <w:rFonts w:hint="eastAsia" w:ascii="宋体" w:hAnsi="宋体" w:eastAsia="宋体" w:cs="宋体"/>
          <w:szCs w:val="22"/>
        </w:rPr>
      </w:pPr>
      <w:r>
        <w:rPr>
          <w:rFonts w:hint="eastAsia" w:ascii="宋体" w:hAnsi="宋体" w:eastAsia="宋体" w:cs="宋体"/>
          <w:szCs w:val="22"/>
        </w:rPr>
        <w:t>大型指路标志最多只能分割成四块，并应尽可能减少分割数量，标志板的拼接应采用对接，接缝的最大间隙为1mm。所有接缝应用滑动槽铝加强，滑动槽铝与标志板用铆钉连接，铆钉的最大间距应小于200mm；</w:t>
      </w:r>
    </w:p>
    <w:p w14:paraId="39C8FB2C">
      <w:pPr>
        <w:numPr>
          <w:ilvl w:val="0"/>
          <w:numId w:val="3"/>
        </w:numPr>
        <w:ind w:firstLine="480"/>
        <w:rPr>
          <w:rFonts w:hint="eastAsia" w:ascii="宋体" w:hAnsi="宋体" w:eastAsia="宋体" w:cs="宋体"/>
          <w:szCs w:val="22"/>
        </w:rPr>
      </w:pPr>
      <w:r>
        <w:rPr>
          <w:rFonts w:hint="eastAsia" w:ascii="宋体" w:hAnsi="宋体" w:eastAsia="宋体" w:cs="宋体"/>
          <w:szCs w:val="22"/>
        </w:rPr>
        <w:t>标志立柱与法兰盘、加劲肋、柱帽等的连接采用焊接的方式。在焊接时应注意焊接质量，并应进行有效的打毛刺和修磨工作，镀锌应保证锌层的厚度及均匀性，所有的立柱及横梁钢管应是整根的，不允许有焊接。</w:t>
      </w:r>
    </w:p>
    <w:p w14:paraId="65C44D54">
      <w:pPr>
        <w:pStyle w:val="3"/>
        <w:bidi w:val="0"/>
        <w:ind w:left="575" w:leftChars="0" w:hanging="575" w:firstLineChars="0"/>
        <w:rPr>
          <w:rFonts w:hint="eastAsia"/>
          <w:lang w:val="en-US" w:eastAsia="zh-CN"/>
        </w:rPr>
      </w:pPr>
      <w:r>
        <w:rPr>
          <w:rFonts w:hint="eastAsia"/>
          <w:lang w:val="en-US" w:eastAsia="zh-CN"/>
        </w:rPr>
        <w:t>交通标线</w:t>
      </w:r>
    </w:p>
    <w:p w14:paraId="0B59F96B">
      <w:pPr>
        <w:pStyle w:val="4"/>
        <w:bidi w:val="0"/>
        <w:ind w:left="720" w:leftChars="0" w:hanging="720" w:firstLineChars="0"/>
        <w:rPr>
          <w:rFonts w:hint="eastAsia"/>
        </w:rPr>
      </w:pPr>
      <w:r>
        <w:rPr>
          <w:rFonts w:hint="eastAsia"/>
        </w:rPr>
        <w:t>设计原则</w:t>
      </w:r>
    </w:p>
    <w:p w14:paraId="2627405F">
      <w:pPr>
        <w:spacing w:line="360" w:lineRule="auto"/>
        <w:ind w:firstLine="480" w:firstLineChars="200"/>
        <w:rPr>
          <w:rFonts w:hint="eastAsia" w:ascii="宋体" w:hAnsi="宋体"/>
          <w:sz w:val="24"/>
          <w:szCs w:val="24"/>
        </w:rPr>
      </w:pPr>
      <w:r>
        <w:rPr>
          <w:rFonts w:hint="eastAsia" w:ascii="宋体" w:hAnsi="宋体"/>
          <w:sz w:val="24"/>
          <w:szCs w:val="24"/>
        </w:rPr>
        <w:t>标线的作用是管制和引导交通，可以和标志配合使用，也可单独使用。标线应能确保车流分道行使，导流交通行驶方向，指引车辆在汇合和分流前驶入合适的车道，加强行驶纪律和秩序，减少事故。标线应保证在白天和晚上都具有视线诱导功能，并应做到车道分界清晰，纵向清楚，轮廓分明。</w:t>
      </w:r>
    </w:p>
    <w:p w14:paraId="40336A44">
      <w:pPr>
        <w:pStyle w:val="4"/>
        <w:bidi w:val="0"/>
        <w:ind w:left="720" w:leftChars="0" w:hanging="720" w:firstLineChars="0"/>
        <w:rPr>
          <w:rFonts w:hint="eastAsia"/>
        </w:rPr>
      </w:pPr>
      <w:r>
        <w:rPr>
          <w:rFonts w:hint="eastAsia"/>
        </w:rPr>
        <w:t>设计内容</w:t>
      </w:r>
    </w:p>
    <w:p w14:paraId="0AC2CAE9">
      <w:pPr>
        <w:spacing w:line="360" w:lineRule="auto"/>
        <w:ind w:firstLine="480" w:firstLineChars="200"/>
        <w:rPr>
          <w:rFonts w:hint="eastAsia" w:ascii="宋体" w:hAnsi="宋体"/>
          <w:sz w:val="24"/>
          <w:szCs w:val="24"/>
        </w:rPr>
      </w:pPr>
      <w:r>
        <w:rPr>
          <w:rFonts w:hint="eastAsia" w:ascii="宋体" w:hAnsi="宋体"/>
          <w:sz w:val="24"/>
          <w:szCs w:val="24"/>
        </w:rPr>
        <w:t>本项目路面标线形式有车行道边缘线、车道分界线、停止线、人行横道线、导向箭头以及路面文字或图形标记等。</w:t>
      </w:r>
      <w:r>
        <w:rPr>
          <w:sz w:val="24"/>
          <w:szCs w:val="24"/>
        </w:rPr>
        <w:t>标线的颜色、形状、尺寸、间距等按《道路交通标志和标线》（GB5768-2009）选用，后附大样。</w:t>
      </w:r>
    </w:p>
    <w:p w14:paraId="37870F38">
      <w:pPr>
        <w:numPr>
          <w:ilvl w:val="0"/>
          <w:numId w:val="4"/>
        </w:numPr>
        <w:ind w:firstLine="480"/>
        <w:rPr>
          <w:rFonts w:hint="eastAsia" w:ascii="宋体" w:hAnsi="宋体" w:eastAsia="宋体" w:cs="宋体"/>
          <w:szCs w:val="22"/>
        </w:rPr>
      </w:pPr>
      <w:r>
        <w:rPr>
          <w:rFonts w:hint="eastAsia" w:ascii="宋体" w:hAnsi="宋体" w:eastAsia="宋体" w:cs="宋体"/>
          <w:szCs w:val="22"/>
        </w:rPr>
        <w:t>路面交通标线由虚线、实线等组成，车道分界线为白色虚线，划2m空4m，线宽10cm；车行道边缘线为白色实线，线宽1</w:t>
      </w:r>
      <w:r>
        <w:rPr>
          <w:rFonts w:hint="eastAsia" w:cs="宋体"/>
          <w:szCs w:val="22"/>
          <w:lang w:val="en-US" w:eastAsia="zh-CN"/>
        </w:rPr>
        <w:t>5</w:t>
      </w:r>
      <w:r>
        <w:rPr>
          <w:rFonts w:hint="eastAsia" w:ascii="宋体" w:hAnsi="宋体" w:eastAsia="宋体" w:cs="宋体"/>
          <w:szCs w:val="22"/>
        </w:rPr>
        <w:t>cm；</w:t>
      </w:r>
    </w:p>
    <w:p w14:paraId="67D3D9EF">
      <w:pPr>
        <w:numPr>
          <w:ilvl w:val="0"/>
          <w:numId w:val="4"/>
        </w:numPr>
        <w:ind w:firstLine="480"/>
        <w:rPr>
          <w:rFonts w:hint="eastAsia" w:ascii="宋体" w:hAnsi="宋体" w:eastAsia="宋体" w:cs="宋体"/>
          <w:szCs w:val="22"/>
        </w:rPr>
      </w:pPr>
      <w:r>
        <w:rPr>
          <w:rFonts w:hint="eastAsia" w:ascii="宋体" w:hAnsi="宋体" w:eastAsia="宋体" w:cs="宋体"/>
          <w:szCs w:val="22"/>
        </w:rPr>
        <w:t>人行横道线线宽40cm，间隔60cm，单根长</w:t>
      </w:r>
      <w:r>
        <w:rPr>
          <w:rFonts w:hint="eastAsia" w:cs="宋体"/>
          <w:szCs w:val="22"/>
          <w:lang w:eastAsia="zh-CN"/>
        </w:rPr>
        <w:t>5m</w:t>
      </w:r>
      <w:r>
        <w:rPr>
          <w:rFonts w:hint="eastAsia" w:ascii="宋体" w:hAnsi="宋体" w:eastAsia="宋体" w:cs="宋体"/>
          <w:szCs w:val="22"/>
        </w:rPr>
        <w:t>；停止线线宽40cm；</w:t>
      </w:r>
    </w:p>
    <w:p w14:paraId="37429AA3">
      <w:pPr>
        <w:numPr>
          <w:ilvl w:val="0"/>
          <w:numId w:val="4"/>
        </w:numPr>
        <w:ind w:firstLine="480"/>
        <w:rPr>
          <w:rFonts w:hint="eastAsia" w:ascii="宋体" w:hAnsi="宋体" w:eastAsia="宋体" w:cs="宋体"/>
          <w:szCs w:val="22"/>
        </w:rPr>
      </w:pPr>
      <w:r>
        <w:rPr>
          <w:rFonts w:hint="eastAsia" w:ascii="宋体" w:hAnsi="宋体" w:eastAsia="宋体" w:cs="宋体"/>
          <w:szCs w:val="22"/>
        </w:rPr>
        <w:t>在交叉口连续设置导向箭头，导向箭头长3m。</w:t>
      </w:r>
    </w:p>
    <w:p w14:paraId="66920A3E">
      <w:pPr>
        <w:numPr>
          <w:ilvl w:val="0"/>
          <w:numId w:val="4"/>
        </w:numPr>
        <w:ind w:firstLine="480"/>
        <w:rPr>
          <w:rFonts w:hint="eastAsia" w:ascii="宋体" w:hAnsi="宋体" w:eastAsia="宋体" w:cs="宋体"/>
          <w:szCs w:val="22"/>
        </w:rPr>
      </w:pPr>
      <w:r>
        <w:rPr>
          <w:rFonts w:hint="eastAsia" w:ascii="宋体" w:hAnsi="宋体" w:eastAsia="宋体" w:cs="宋体"/>
          <w:szCs w:val="22"/>
        </w:rPr>
        <w:t>非机动车道在距离交叉口一定距离设置非机动车图案标记。</w:t>
      </w:r>
    </w:p>
    <w:p w14:paraId="129CCF04">
      <w:pPr>
        <w:numPr>
          <w:ilvl w:val="0"/>
          <w:numId w:val="4"/>
        </w:numPr>
        <w:ind w:firstLine="480"/>
        <w:rPr>
          <w:rFonts w:hint="eastAsia" w:ascii="宋体" w:hAnsi="宋体" w:eastAsia="宋体" w:cs="宋体"/>
          <w:szCs w:val="22"/>
        </w:rPr>
      </w:pPr>
      <w:r>
        <w:rPr>
          <w:rFonts w:hint="eastAsia" w:ascii="宋体" w:hAnsi="宋体" w:eastAsia="宋体" w:cs="宋体"/>
          <w:szCs w:val="22"/>
        </w:rPr>
        <w:t xml:space="preserve">标线间距设置如下：停止线距离人行横道线2m，第一组导向箭头距离停止线3m，第二组导向箭头位于导向车道线底部，导向车道线为实线，长度为40m，第三组导向箭头距离第二组箭头40m； </w:t>
      </w:r>
    </w:p>
    <w:p w14:paraId="19D9A24B">
      <w:pPr>
        <w:pStyle w:val="4"/>
        <w:bidi w:val="0"/>
        <w:ind w:left="720" w:leftChars="0" w:hanging="720" w:firstLineChars="0"/>
        <w:rPr>
          <w:rFonts w:hint="eastAsia"/>
        </w:rPr>
      </w:pPr>
      <w:r>
        <w:rPr>
          <w:rFonts w:hint="eastAsia"/>
        </w:rPr>
        <w:t>标线材料</w:t>
      </w:r>
    </w:p>
    <w:p w14:paraId="5AFBDC47">
      <w:pPr>
        <w:numPr>
          <w:ilvl w:val="0"/>
          <w:numId w:val="5"/>
        </w:numPr>
        <w:ind w:firstLine="480"/>
        <w:rPr>
          <w:rFonts w:hint="eastAsia" w:ascii="宋体" w:hAnsi="宋体" w:eastAsia="宋体" w:cs="宋体"/>
          <w:szCs w:val="22"/>
        </w:rPr>
      </w:pPr>
      <w:r>
        <w:rPr>
          <w:rFonts w:hint="eastAsia" w:ascii="宋体" w:hAnsi="宋体" w:eastAsia="宋体" w:cs="宋体"/>
          <w:szCs w:val="22"/>
        </w:rPr>
        <w:t>本路标线面洒玻璃珠，标线厚度为1.8~2mm。</w:t>
      </w:r>
    </w:p>
    <w:p w14:paraId="2720A797">
      <w:pPr>
        <w:numPr>
          <w:ilvl w:val="0"/>
          <w:numId w:val="5"/>
        </w:numPr>
        <w:ind w:firstLine="480"/>
        <w:rPr>
          <w:rFonts w:hint="eastAsia" w:ascii="宋体" w:hAnsi="宋体" w:eastAsia="宋体" w:cs="宋体"/>
          <w:szCs w:val="22"/>
        </w:rPr>
      </w:pPr>
      <w:r>
        <w:rPr>
          <w:rFonts w:hint="eastAsia" w:ascii="宋体" w:hAnsi="宋体" w:eastAsia="宋体" w:cs="宋体"/>
          <w:szCs w:val="22"/>
        </w:rPr>
        <w:t>标线逆反射系数：白色标线≥150，黄色标线≥100。</w:t>
      </w:r>
    </w:p>
    <w:p w14:paraId="07F46468">
      <w:pPr>
        <w:pStyle w:val="4"/>
        <w:bidi w:val="0"/>
        <w:ind w:left="720" w:leftChars="0" w:hanging="720" w:firstLineChars="0"/>
        <w:rPr>
          <w:rFonts w:hint="eastAsia"/>
        </w:rPr>
      </w:pPr>
      <w:r>
        <w:rPr>
          <w:rFonts w:hint="eastAsia"/>
        </w:rPr>
        <w:t>材料规格</w:t>
      </w:r>
    </w:p>
    <w:p w14:paraId="0FAE1C84">
      <w:pPr>
        <w:numPr>
          <w:ilvl w:val="0"/>
          <w:numId w:val="6"/>
        </w:numPr>
        <w:spacing w:line="360" w:lineRule="auto"/>
        <w:ind w:left="0" w:leftChars="0" w:firstLine="454" w:firstLineChars="0"/>
        <w:rPr>
          <w:rFonts w:hint="eastAsia" w:ascii="宋体" w:hAnsi="宋体"/>
          <w:sz w:val="24"/>
          <w:szCs w:val="24"/>
        </w:rPr>
      </w:pPr>
      <w:r>
        <w:rPr>
          <w:rFonts w:hint="eastAsia" w:ascii="宋体" w:hAnsi="宋体"/>
          <w:sz w:val="24"/>
          <w:szCs w:val="24"/>
        </w:rPr>
        <w:t>标线材料采用白色、黄色热溶型标线涂料，热熔型涂料中的树脂必须是热塑性的。热塑性标线材料必须符合交通标线的技术要求：耐久，耐磨耗，耐腐蚀，与路面粘结强，在恶劣的气候条件下，具有较好的辨认性，具有防滑性和一定的粗糙度，便于施工，与人无害。</w:t>
      </w:r>
    </w:p>
    <w:p w14:paraId="138A195E">
      <w:pPr>
        <w:numPr>
          <w:ilvl w:val="0"/>
          <w:numId w:val="6"/>
        </w:numPr>
        <w:spacing w:line="360" w:lineRule="auto"/>
        <w:ind w:left="0" w:leftChars="0" w:firstLine="454" w:firstLineChars="0"/>
        <w:rPr>
          <w:rFonts w:hint="eastAsia" w:ascii="宋体" w:hAnsi="宋体"/>
          <w:sz w:val="24"/>
          <w:szCs w:val="24"/>
        </w:rPr>
      </w:pPr>
      <w:r>
        <w:rPr>
          <w:rFonts w:hint="eastAsia" w:ascii="宋体" w:hAnsi="宋体"/>
          <w:sz w:val="24"/>
          <w:szCs w:val="24"/>
        </w:rPr>
        <w:t>用于标线的各种材料的性能应符合交通部标准《路面标线涂料》（JT/T280-2004）的规定。</w:t>
      </w:r>
    </w:p>
    <w:p w14:paraId="1D1C4887">
      <w:pPr>
        <w:numPr>
          <w:ilvl w:val="0"/>
          <w:numId w:val="6"/>
        </w:numPr>
        <w:spacing w:line="360" w:lineRule="auto"/>
        <w:ind w:left="0" w:leftChars="0" w:firstLine="454" w:firstLineChars="0"/>
        <w:rPr>
          <w:rFonts w:hint="eastAsia" w:ascii="宋体" w:hAnsi="宋体"/>
          <w:sz w:val="24"/>
          <w:szCs w:val="24"/>
        </w:rPr>
      </w:pPr>
      <w:r>
        <w:rPr>
          <w:rFonts w:hint="eastAsia" w:ascii="宋体" w:hAnsi="宋体"/>
          <w:sz w:val="24"/>
          <w:szCs w:val="24"/>
        </w:rPr>
        <w:t>玻璃珠的品质要求应符合GB24722-2009《路面标线用玻璃珠》中表5的规定。</w:t>
      </w:r>
    </w:p>
    <w:p w14:paraId="67D38A01">
      <w:pPr>
        <w:pStyle w:val="3"/>
        <w:bidi w:val="0"/>
        <w:ind w:left="575" w:leftChars="0" w:hanging="575" w:firstLineChars="0"/>
        <w:rPr>
          <w:rFonts w:hint="eastAsia"/>
          <w:lang w:val="en-US" w:eastAsia="zh-CN"/>
        </w:rPr>
      </w:pPr>
      <w:r>
        <w:rPr>
          <w:rFonts w:hint="eastAsia"/>
          <w:lang w:val="en-US" w:eastAsia="zh-CN"/>
        </w:rPr>
        <w:t>交通信号灯设计</w:t>
      </w:r>
    </w:p>
    <w:p w14:paraId="44B51EC5">
      <w:pPr>
        <w:pStyle w:val="4"/>
        <w:bidi w:val="0"/>
        <w:ind w:left="720" w:leftChars="0" w:hanging="720" w:firstLineChars="0"/>
        <w:rPr>
          <w:rFonts w:hint="eastAsia" w:ascii="宋体" w:hAnsi="宋体"/>
          <w:b/>
          <w:sz w:val="24"/>
          <w:szCs w:val="24"/>
        </w:rPr>
      </w:pPr>
      <w:r>
        <w:rPr>
          <w:rFonts w:hint="eastAsia" w:ascii="宋体" w:hAnsi="宋体" w:eastAsia="宋体" w:cs="Times New Roman"/>
          <w:b/>
          <w:kern w:val="2"/>
          <w:sz w:val="28"/>
          <w:lang w:val="en-US" w:eastAsia="zh-CN" w:bidi="ar-SA"/>
        </w:rPr>
        <w:t>设计原则</w:t>
      </w:r>
    </w:p>
    <w:p w14:paraId="31FEDAE0">
      <w:pPr>
        <w:numPr>
          <w:ilvl w:val="0"/>
          <w:numId w:val="7"/>
        </w:numPr>
        <w:ind w:firstLine="480"/>
        <w:rPr>
          <w:rFonts w:hint="eastAsia" w:ascii="宋体" w:hAnsi="宋体" w:eastAsia="宋体" w:cs="宋体"/>
          <w:szCs w:val="22"/>
        </w:rPr>
      </w:pPr>
      <w:r>
        <w:rPr>
          <w:rFonts w:hint="eastAsia" w:ascii="宋体" w:hAnsi="宋体" w:eastAsia="宋体" w:cs="宋体"/>
          <w:szCs w:val="22"/>
        </w:rPr>
        <w:t>本项目在交叉口设置交通信号灯，以保障行人与行车的安全以及道路交通流的顺畅。</w:t>
      </w:r>
    </w:p>
    <w:p w14:paraId="13D3CD72">
      <w:pPr>
        <w:numPr>
          <w:ilvl w:val="0"/>
          <w:numId w:val="7"/>
        </w:numPr>
        <w:ind w:firstLine="480"/>
        <w:rPr>
          <w:rFonts w:hint="eastAsia" w:ascii="宋体" w:hAnsi="宋体" w:eastAsia="宋体" w:cs="宋体"/>
          <w:szCs w:val="22"/>
        </w:rPr>
      </w:pPr>
      <w:r>
        <w:rPr>
          <w:rFonts w:hint="eastAsia" w:ascii="宋体" w:hAnsi="宋体" w:eastAsia="宋体" w:cs="宋体"/>
          <w:szCs w:val="22"/>
        </w:rPr>
        <w:t>信号灯具体设置，以交警部门意见为准。</w:t>
      </w:r>
    </w:p>
    <w:p w14:paraId="3E814F4E">
      <w:pPr>
        <w:numPr>
          <w:ilvl w:val="0"/>
          <w:numId w:val="7"/>
        </w:numPr>
        <w:ind w:firstLine="480"/>
        <w:rPr>
          <w:rFonts w:hint="eastAsia" w:ascii="宋体" w:hAnsi="宋体" w:eastAsia="宋体" w:cs="宋体"/>
          <w:szCs w:val="22"/>
        </w:rPr>
      </w:pPr>
      <w:r>
        <w:rPr>
          <w:rFonts w:hint="eastAsia" w:ascii="宋体" w:hAnsi="宋体" w:eastAsia="宋体" w:cs="宋体"/>
          <w:szCs w:val="22"/>
        </w:rPr>
        <w:t>被交叉信号灯杆上限速标志仅表示示意。</w:t>
      </w:r>
    </w:p>
    <w:p w14:paraId="20646580">
      <w:pPr>
        <w:pStyle w:val="4"/>
        <w:bidi w:val="0"/>
        <w:ind w:left="720" w:leftChars="0" w:hanging="720" w:firstLineChars="0"/>
        <w:rPr>
          <w:rFonts w:hint="eastAsia"/>
        </w:rPr>
      </w:pPr>
      <w:r>
        <w:rPr>
          <w:rFonts w:hint="eastAsia"/>
        </w:rPr>
        <w:t>系统构成</w:t>
      </w:r>
    </w:p>
    <w:p w14:paraId="7F837C38">
      <w:pPr>
        <w:numPr>
          <w:ilvl w:val="0"/>
          <w:numId w:val="8"/>
        </w:numPr>
        <w:ind w:firstLine="480"/>
        <w:rPr>
          <w:rFonts w:hint="eastAsia" w:ascii="宋体" w:hAnsi="宋体" w:eastAsia="宋体" w:cs="宋体"/>
          <w:szCs w:val="22"/>
        </w:rPr>
      </w:pPr>
      <w:r>
        <w:rPr>
          <w:rFonts w:hint="eastAsia" w:ascii="宋体" w:hAnsi="宋体" w:eastAsia="宋体" w:cs="宋体"/>
          <w:szCs w:val="22"/>
        </w:rPr>
        <w:t>系统外场部分主要由交通信号控制机，机动车信号灯，人行信号灯等组成；</w:t>
      </w:r>
    </w:p>
    <w:p w14:paraId="04C03BA0">
      <w:pPr>
        <w:numPr>
          <w:ilvl w:val="0"/>
          <w:numId w:val="8"/>
        </w:numPr>
        <w:ind w:firstLine="480"/>
        <w:rPr>
          <w:rFonts w:hint="eastAsia" w:ascii="宋体" w:hAnsi="宋体" w:eastAsia="宋体" w:cs="宋体"/>
          <w:szCs w:val="22"/>
        </w:rPr>
      </w:pPr>
      <w:r>
        <w:rPr>
          <w:rFonts w:hint="eastAsia" w:ascii="宋体" w:hAnsi="宋体" w:eastAsia="宋体" w:cs="宋体"/>
          <w:szCs w:val="22"/>
        </w:rPr>
        <w:t>灯色排列方式</w:t>
      </w:r>
    </w:p>
    <w:p w14:paraId="3312C371">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机动车信号灯采用红、黄、绿三色全屏灯，竖排方式，安装从上到下依次为红、黄、绿。根据路口情况灯杆采用悬臂杆。</w:t>
      </w:r>
    </w:p>
    <w:p w14:paraId="042FFEE9">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人行信号灯均采用红绿</w:t>
      </w:r>
      <w:r>
        <w:rPr>
          <w:color w:val="000000"/>
          <w:sz w:val="24"/>
          <w:szCs w:val="24"/>
        </w:rPr>
        <w:t>2</w:t>
      </w:r>
      <w:r>
        <w:rPr>
          <w:rFonts w:hAnsi="宋体"/>
          <w:color w:val="000000"/>
          <w:sz w:val="24"/>
          <w:szCs w:val="24"/>
        </w:rPr>
        <w:t>灯位组合。</w:t>
      </w:r>
    </w:p>
    <w:p w14:paraId="44C22910">
      <w:pPr>
        <w:pStyle w:val="4"/>
        <w:bidi w:val="0"/>
        <w:ind w:left="720" w:leftChars="0" w:hanging="720" w:firstLineChars="0"/>
        <w:rPr>
          <w:rFonts w:hint="eastAsia"/>
        </w:rPr>
      </w:pPr>
      <w:r>
        <w:rPr>
          <w:rFonts w:hint="eastAsia"/>
        </w:rPr>
        <w:t>系统功能</w:t>
      </w:r>
    </w:p>
    <w:p w14:paraId="55E9EB77">
      <w:pPr>
        <w:spacing w:line="360" w:lineRule="auto"/>
        <w:ind w:firstLine="480" w:firstLineChars="200"/>
        <w:rPr>
          <w:color w:val="000000"/>
          <w:sz w:val="24"/>
          <w:szCs w:val="24"/>
        </w:rPr>
      </w:pPr>
      <w:r>
        <w:rPr>
          <w:rFonts w:hAnsi="宋体"/>
          <w:color w:val="000000"/>
          <w:sz w:val="24"/>
          <w:szCs w:val="24"/>
        </w:rPr>
        <w:t>本次设计采用集中协调式信号机，实现自适应协调控制系统功能</w:t>
      </w:r>
      <w:r>
        <w:rPr>
          <w:rFonts w:hint="eastAsia" w:hAnsi="宋体"/>
          <w:color w:val="000000"/>
          <w:sz w:val="24"/>
          <w:szCs w:val="24"/>
        </w:rPr>
        <w:t>，同时控制系统需满足接入</w:t>
      </w:r>
      <w:r>
        <w:rPr>
          <w:rFonts w:hint="eastAsia"/>
          <w:color w:val="000000"/>
          <w:sz w:val="24"/>
          <w:szCs w:val="24"/>
          <w:lang w:val="en-US" w:eastAsia="zh-CN"/>
        </w:rPr>
        <w:t>西昌</w:t>
      </w:r>
      <w:r>
        <w:rPr>
          <w:rFonts w:hint="eastAsia" w:hAnsi="宋体"/>
          <w:color w:val="000000"/>
          <w:sz w:val="24"/>
          <w:szCs w:val="24"/>
        </w:rPr>
        <w:t>市交警支队智能指挥系统</w:t>
      </w:r>
      <w:r>
        <w:rPr>
          <w:rFonts w:hAnsi="宋体"/>
          <w:color w:val="000000"/>
          <w:sz w:val="24"/>
          <w:szCs w:val="24"/>
        </w:rPr>
        <w:t>。</w:t>
      </w:r>
    </w:p>
    <w:p w14:paraId="1F3C3570">
      <w:pPr>
        <w:pStyle w:val="4"/>
        <w:bidi w:val="0"/>
        <w:ind w:left="720" w:leftChars="0" w:hanging="720" w:firstLineChars="0"/>
        <w:rPr>
          <w:rFonts w:hint="eastAsia"/>
        </w:rPr>
      </w:pPr>
      <w:r>
        <w:rPr>
          <w:rFonts w:hint="eastAsia"/>
        </w:rPr>
        <w:t>供电方案</w:t>
      </w:r>
    </w:p>
    <w:p w14:paraId="41818ADD">
      <w:pPr>
        <w:snapToGrid w:val="0"/>
        <w:spacing w:line="360" w:lineRule="auto"/>
        <w:ind w:firstLine="480" w:firstLineChars="200"/>
        <w:rPr>
          <w:rFonts w:hint="eastAsia" w:ascii="宋体" w:hAnsi="宋体"/>
          <w:b/>
          <w:sz w:val="24"/>
          <w:szCs w:val="24"/>
        </w:rPr>
      </w:pPr>
      <w:r>
        <w:rPr>
          <w:rFonts w:hint="eastAsia" w:ascii="宋体" w:hAnsi="宋体"/>
          <w:color w:val="000000"/>
          <w:sz w:val="24"/>
          <w:szCs w:val="24"/>
        </w:rPr>
        <w:t>交通信号控制机供电引自最近的路灯控制箱，</w:t>
      </w:r>
      <w:r>
        <w:rPr>
          <w:rFonts w:hint="eastAsia" w:ascii="宋体" w:hAnsi="宋体"/>
          <w:color w:val="000000"/>
          <w:spacing w:val="8"/>
          <w:sz w:val="24"/>
          <w:szCs w:val="24"/>
        </w:rPr>
        <w:t>电缆采用</w:t>
      </w:r>
      <w:r>
        <w:rPr>
          <w:rFonts w:hint="eastAsia" w:ascii="宋体" w:hAnsi="宋体"/>
          <w:color w:val="000000"/>
          <w:sz w:val="24"/>
        </w:rPr>
        <w:t>φ50</w:t>
      </w:r>
      <w:r>
        <w:rPr>
          <w:rFonts w:hint="eastAsia" w:ascii="宋体" w:hAnsi="宋体"/>
          <w:color w:val="000000"/>
          <w:spacing w:val="8"/>
          <w:sz w:val="24"/>
          <w:szCs w:val="24"/>
        </w:rPr>
        <w:t>PVC管敷设，埋深不小于0.7m。</w:t>
      </w:r>
    </w:p>
    <w:p w14:paraId="69ECF975">
      <w:pPr>
        <w:pStyle w:val="4"/>
        <w:bidi w:val="0"/>
        <w:ind w:left="720" w:leftChars="0" w:hanging="720" w:firstLineChars="0"/>
        <w:rPr>
          <w:rFonts w:hint="eastAsia"/>
        </w:rPr>
      </w:pPr>
      <w:r>
        <w:rPr>
          <w:rFonts w:hint="eastAsia"/>
        </w:rPr>
        <w:t>信号灯管线</w:t>
      </w:r>
    </w:p>
    <w:p w14:paraId="5377D000">
      <w:pPr>
        <w:snapToGrid w:val="0"/>
        <w:spacing w:line="360" w:lineRule="auto"/>
        <w:ind w:firstLine="360" w:firstLineChars="150"/>
        <w:rPr>
          <w:color w:val="000000"/>
          <w:sz w:val="24"/>
          <w:szCs w:val="24"/>
        </w:rPr>
      </w:pPr>
      <w:r>
        <w:rPr>
          <w:rFonts w:hAnsi="宋体"/>
          <w:color w:val="000000"/>
          <w:sz w:val="24"/>
          <w:szCs w:val="24"/>
        </w:rPr>
        <w:t>信号灯管道由接线井和管道构成。</w:t>
      </w:r>
    </w:p>
    <w:p w14:paraId="30E2D0D6">
      <w:pPr>
        <w:numPr>
          <w:ilvl w:val="0"/>
          <w:numId w:val="10"/>
        </w:numPr>
        <w:ind w:firstLine="480"/>
        <w:rPr>
          <w:rFonts w:hint="eastAsia" w:ascii="宋体" w:hAnsi="宋体" w:eastAsia="宋体" w:cs="宋体"/>
          <w:szCs w:val="22"/>
        </w:rPr>
      </w:pPr>
      <w:r>
        <w:rPr>
          <w:rFonts w:hint="eastAsia" w:ascii="宋体" w:hAnsi="宋体" w:eastAsia="宋体" w:cs="宋体"/>
          <w:szCs w:val="22"/>
        </w:rPr>
        <w:t>接线井</w:t>
      </w:r>
    </w:p>
    <w:p w14:paraId="6425F097">
      <w:pPr>
        <w:snapToGrid w:val="0"/>
        <w:spacing w:line="360" w:lineRule="auto"/>
        <w:ind w:firstLine="480"/>
        <w:rPr>
          <w:rFonts w:hint="eastAsia"/>
          <w:color w:val="000000"/>
          <w:sz w:val="24"/>
          <w:szCs w:val="24"/>
        </w:rPr>
      </w:pPr>
      <w:r>
        <w:rPr>
          <w:rFonts w:hAnsi="宋体"/>
          <w:color w:val="000000"/>
          <w:sz w:val="24"/>
          <w:szCs w:val="24"/>
        </w:rPr>
        <w:t>在信号灯杆旁、信号灯控制机旁、电缆拐弯处设置接线井</w:t>
      </w:r>
      <w:r>
        <w:rPr>
          <w:rFonts w:hint="eastAsia" w:hAnsi="宋体"/>
          <w:color w:val="000000"/>
          <w:sz w:val="24"/>
          <w:szCs w:val="24"/>
        </w:rPr>
        <w:t>，</w:t>
      </w:r>
      <w:r>
        <w:rPr>
          <w:rFonts w:hAnsi="宋体"/>
          <w:color w:val="000000"/>
          <w:sz w:val="24"/>
          <w:szCs w:val="24"/>
        </w:rPr>
        <w:t>接线井严禁设置于道路路面及人行道低洼积水处；接线井内围尺寸为：</w:t>
      </w:r>
      <w:r>
        <w:rPr>
          <w:rFonts w:hint="eastAsia"/>
          <w:color w:val="000000"/>
          <w:sz w:val="24"/>
          <w:szCs w:val="24"/>
        </w:rPr>
        <w:t>40</w:t>
      </w:r>
      <w:r>
        <w:rPr>
          <w:color w:val="000000"/>
          <w:sz w:val="24"/>
          <w:szCs w:val="24"/>
        </w:rPr>
        <w:t>0×</w:t>
      </w:r>
      <w:r>
        <w:rPr>
          <w:rFonts w:hint="eastAsia"/>
          <w:color w:val="000000"/>
          <w:sz w:val="24"/>
          <w:szCs w:val="24"/>
        </w:rPr>
        <w:t>40</w:t>
      </w:r>
      <w:r>
        <w:rPr>
          <w:color w:val="000000"/>
          <w:sz w:val="24"/>
          <w:szCs w:val="24"/>
        </w:rPr>
        <w:t>0×1000mm</w:t>
      </w:r>
      <w:r>
        <w:rPr>
          <w:rFonts w:hAnsi="宋体"/>
          <w:color w:val="000000"/>
          <w:sz w:val="24"/>
          <w:szCs w:val="24"/>
        </w:rPr>
        <w:t>。</w:t>
      </w:r>
    </w:p>
    <w:p w14:paraId="2FDA2D86">
      <w:pPr>
        <w:numPr>
          <w:ilvl w:val="0"/>
          <w:numId w:val="10"/>
        </w:numPr>
        <w:ind w:firstLine="480"/>
        <w:rPr>
          <w:rFonts w:hint="eastAsia" w:ascii="宋体" w:hAnsi="宋体" w:eastAsia="宋体" w:cs="宋体"/>
          <w:szCs w:val="22"/>
        </w:rPr>
      </w:pPr>
      <w:r>
        <w:rPr>
          <w:rFonts w:hint="eastAsia" w:ascii="宋体" w:hAnsi="宋体" w:eastAsia="宋体" w:cs="宋体"/>
          <w:szCs w:val="22"/>
        </w:rPr>
        <w:t>交通信号管线</w:t>
      </w:r>
    </w:p>
    <w:p w14:paraId="572C3A5F">
      <w:pPr>
        <w:snapToGrid w:val="0"/>
        <w:spacing w:line="360" w:lineRule="auto"/>
        <w:ind w:firstLine="600" w:firstLineChars="250"/>
        <w:rPr>
          <w:color w:val="000000"/>
          <w:sz w:val="24"/>
          <w:szCs w:val="24"/>
        </w:rPr>
      </w:pPr>
      <w:r>
        <w:rPr>
          <w:rFonts w:hAnsi="宋体"/>
          <w:color w:val="000000"/>
          <w:sz w:val="24"/>
        </w:rPr>
        <w:t>敷线管道设计根据路口信号灯线缆情况，并考虑适当预留。横跨道路处共敷设</w:t>
      </w:r>
      <w:r>
        <w:rPr>
          <w:color w:val="000000"/>
          <w:sz w:val="24"/>
        </w:rPr>
        <w:t>3</w:t>
      </w:r>
      <w:r>
        <w:rPr>
          <w:rFonts w:hAnsi="宋体"/>
          <w:color w:val="000000"/>
          <w:sz w:val="24"/>
        </w:rPr>
        <w:t>孔管道（</w:t>
      </w:r>
      <w:r>
        <w:rPr>
          <w:rFonts w:hint="eastAsia"/>
          <w:color w:val="000000"/>
          <w:sz w:val="24"/>
        </w:rPr>
        <w:t>3</w:t>
      </w:r>
      <w:r>
        <w:rPr>
          <w:rFonts w:hAnsi="宋体"/>
          <w:color w:val="000000"/>
          <w:sz w:val="24"/>
        </w:rPr>
        <w:t>根</w:t>
      </w:r>
      <w:r>
        <w:rPr>
          <w:color w:val="000000"/>
          <w:sz w:val="24"/>
        </w:rPr>
        <w:t>φ125</w:t>
      </w:r>
      <w:r>
        <w:rPr>
          <w:rFonts w:hAnsi="宋体"/>
          <w:color w:val="000000"/>
          <w:sz w:val="24"/>
        </w:rPr>
        <w:t>镀锌钢管，内套</w:t>
      </w:r>
      <w:r>
        <w:rPr>
          <w:rFonts w:hint="eastAsia" w:hAnsi="宋体"/>
          <w:color w:val="000000"/>
          <w:sz w:val="24"/>
        </w:rPr>
        <w:t>3根</w:t>
      </w:r>
      <w:r>
        <w:rPr>
          <w:color w:val="000000"/>
          <w:sz w:val="24"/>
        </w:rPr>
        <w:t>φ110PVC</w:t>
      </w:r>
      <w:r>
        <w:rPr>
          <w:rFonts w:hAnsi="宋体"/>
          <w:color w:val="000000"/>
          <w:sz w:val="24"/>
        </w:rPr>
        <w:t>管），距路面深度不小于</w:t>
      </w:r>
      <w:r>
        <w:rPr>
          <w:color w:val="000000"/>
          <w:sz w:val="24"/>
        </w:rPr>
        <w:t>0.5m</w:t>
      </w:r>
      <w:r>
        <w:rPr>
          <w:rFonts w:hAnsi="宋体"/>
          <w:color w:val="000000"/>
          <w:sz w:val="24"/>
        </w:rPr>
        <w:t>；人行道处敷设</w:t>
      </w:r>
      <w:r>
        <w:rPr>
          <w:rFonts w:hint="eastAsia"/>
          <w:color w:val="000000"/>
          <w:sz w:val="24"/>
        </w:rPr>
        <w:t>3</w:t>
      </w:r>
      <w:r>
        <w:rPr>
          <w:rFonts w:hAnsi="宋体"/>
          <w:color w:val="000000"/>
          <w:sz w:val="24"/>
        </w:rPr>
        <w:t>孔</w:t>
      </w:r>
      <w:r>
        <w:rPr>
          <w:color w:val="000000"/>
          <w:sz w:val="24"/>
        </w:rPr>
        <w:t>φ110PVC</w:t>
      </w:r>
      <w:r>
        <w:rPr>
          <w:rFonts w:hAnsi="宋体"/>
          <w:color w:val="000000"/>
          <w:sz w:val="24"/>
        </w:rPr>
        <w:t>管，覆土深度不小于</w:t>
      </w:r>
      <w:r>
        <w:rPr>
          <w:color w:val="000000"/>
          <w:sz w:val="24"/>
        </w:rPr>
        <w:t>0.7m</w:t>
      </w:r>
      <w:r>
        <w:rPr>
          <w:rFonts w:hAnsi="宋体"/>
          <w:color w:val="000000"/>
          <w:sz w:val="24"/>
          <w:szCs w:val="24"/>
        </w:rPr>
        <w:t>。其中一孔敷设供电线缆，</w:t>
      </w:r>
      <w:r>
        <w:rPr>
          <w:rFonts w:hint="eastAsia" w:hAnsi="宋体"/>
          <w:color w:val="000000"/>
          <w:sz w:val="24"/>
          <w:szCs w:val="24"/>
        </w:rPr>
        <w:t>一</w:t>
      </w:r>
      <w:r>
        <w:rPr>
          <w:rFonts w:hAnsi="宋体"/>
          <w:color w:val="000000"/>
          <w:sz w:val="24"/>
          <w:szCs w:val="24"/>
        </w:rPr>
        <w:t>孔敷设弱电线缆</w:t>
      </w:r>
      <w:r>
        <w:rPr>
          <w:rFonts w:hint="eastAsia" w:hAnsi="宋体"/>
          <w:color w:val="000000"/>
          <w:sz w:val="24"/>
          <w:szCs w:val="24"/>
        </w:rPr>
        <w:t>，另外一孔为预留管道</w:t>
      </w:r>
      <w:r>
        <w:rPr>
          <w:rFonts w:hAnsi="宋体"/>
          <w:color w:val="000000"/>
          <w:sz w:val="24"/>
          <w:szCs w:val="24"/>
        </w:rPr>
        <w:t>。</w:t>
      </w:r>
    </w:p>
    <w:p w14:paraId="5FCBE26F">
      <w:pPr>
        <w:numPr>
          <w:ilvl w:val="0"/>
          <w:numId w:val="10"/>
        </w:numPr>
        <w:ind w:firstLine="480"/>
        <w:rPr>
          <w:rFonts w:hint="eastAsia" w:ascii="宋体" w:hAnsi="宋体" w:eastAsia="宋体" w:cs="宋体"/>
          <w:szCs w:val="22"/>
        </w:rPr>
      </w:pPr>
      <w:r>
        <w:rPr>
          <w:rFonts w:hint="eastAsia" w:ascii="宋体" w:hAnsi="宋体" w:eastAsia="宋体" w:cs="宋体"/>
          <w:szCs w:val="22"/>
        </w:rPr>
        <w:t>道路开挖、管井施工注意事项：</w:t>
      </w:r>
    </w:p>
    <w:p w14:paraId="47313067">
      <w:pPr>
        <w:numPr>
          <w:ilvl w:val="0"/>
          <w:numId w:val="11"/>
        </w:numPr>
        <w:spacing w:line="360" w:lineRule="auto"/>
        <w:rPr>
          <w:color w:val="000000"/>
          <w:sz w:val="24"/>
          <w:szCs w:val="24"/>
        </w:rPr>
      </w:pPr>
      <w:r>
        <w:rPr>
          <w:rFonts w:hAnsi="宋体"/>
          <w:color w:val="000000"/>
          <w:sz w:val="24"/>
          <w:szCs w:val="24"/>
        </w:rPr>
        <w:t>在考虑管道过街位置时，尽可能取路面结合处；</w:t>
      </w:r>
    </w:p>
    <w:p w14:paraId="6AAA973F">
      <w:pPr>
        <w:numPr>
          <w:ilvl w:val="0"/>
          <w:numId w:val="11"/>
        </w:numPr>
        <w:spacing w:line="360" w:lineRule="auto"/>
        <w:rPr>
          <w:color w:val="000000"/>
          <w:sz w:val="24"/>
          <w:szCs w:val="24"/>
        </w:rPr>
      </w:pPr>
      <w:r>
        <w:rPr>
          <w:rFonts w:hAnsi="宋体"/>
          <w:color w:val="000000"/>
          <w:sz w:val="24"/>
          <w:szCs w:val="24"/>
        </w:rPr>
        <w:t>设接线井时，尽可能考虑预留信号灯的基础位置，并避免与电信、电力、煤气等其它井冲突；</w:t>
      </w:r>
    </w:p>
    <w:p w14:paraId="3BA252D6">
      <w:pPr>
        <w:numPr>
          <w:ilvl w:val="0"/>
          <w:numId w:val="11"/>
        </w:numPr>
        <w:spacing w:line="360" w:lineRule="auto"/>
        <w:rPr>
          <w:color w:val="000000"/>
          <w:sz w:val="24"/>
          <w:szCs w:val="24"/>
        </w:rPr>
      </w:pPr>
      <w:r>
        <w:rPr>
          <w:rFonts w:hAnsi="宋体"/>
          <w:color w:val="000000"/>
          <w:sz w:val="24"/>
          <w:szCs w:val="24"/>
        </w:rPr>
        <w:t>开挖的机动车道、人行道应尽最大可能恢复原貌，严禁出现路面塌陷。</w:t>
      </w:r>
    </w:p>
    <w:p w14:paraId="1C4E86D0">
      <w:pPr>
        <w:pStyle w:val="4"/>
        <w:bidi w:val="0"/>
        <w:ind w:left="720" w:leftChars="0" w:hanging="720" w:firstLineChars="0"/>
        <w:rPr>
          <w:rFonts w:hint="eastAsia"/>
        </w:rPr>
      </w:pPr>
      <w:r>
        <w:rPr>
          <w:rFonts w:hint="eastAsia"/>
        </w:rPr>
        <w:t xml:space="preserve"> 接地与防雷系统</w:t>
      </w:r>
    </w:p>
    <w:p w14:paraId="6296071C">
      <w:pPr>
        <w:numPr>
          <w:ilvl w:val="0"/>
          <w:numId w:val="12"/>
        </w:numPr>
        <w:ind w:firstLine="480"/>
        <w:rPr>
          <w:rFonts w:hint="eastAsia" w:ascii="宋体" w:hAnsi="宋体" w:eastAsia="宋体" w:cs="宋体"/>
          <w:szCs w:val="22"/>
        </w:rPr>
      </w:pPr>
      <w:r>
        <w:rPr>
          <w:rFonts w:hint="eastAsia" w:ascii="宋体" w:hAnsi="宋体" w:eastAsia="宋体" w:cs="宋体"/>
          <w:szCs w:val="22"/>
        </w:rPr>
        <w:t>接地系统</w:t>
      </w:r>
    </w:p>
    <w:p w14:paraId="4DC3AC63">
      <w:pPr>
        <w:spacing w:line="360" w:lineRule="auto"/>
        <w:ind w:firstLine="480" w:firstLineChars="200"/>
        <w:rPr>
          <w:color w:val="000000"/>
          <w:sz w:val="24"/>
        </w:rPr>
      </w:pPr>
      <w:r>
        <w:rPr>
          <w:rFonts w:hAnsi="宋体"/>
          <w:color w:val="000000"/>
          <w:sz w:val="24"/>
        </w:rPr>
        <w:t>每座信号灯杆基础处及</w:t>
      </w:r>
      <w:r>
        <w:rPr>
          <w:color w:val="000000"/>
          <w:sz w:val="24"/>
          <w:szCs w:val="24"/>
        </w:rPr>
        <w:t>交通信号控制机处</w:t>
      </w:r>
      <w:r>
        <w:rPr>
          <w:rFonts w:hAnsi="宋体"/>
          <w:color w:val="000000"/>
          <w:sz w:val="24"/>
        </w:rPr>
        <w:t>均设置接地极，接地极采用</w:t>
      </w:r>
      <w:r>
        <w:rPr>
          <w:color w:val="000000"/>
          <w:sz w:val="24"/>
        </w:rPr>
        <w:t>4</w:t>
      </w:r>
      <w:r>
        <w:rPr>
          <w:rFonts w:hAnsi="宋体"/>
          <w:color w:val="000000"/>
          <w:sz w:val="24"/>
        </w:rPr>
        <w:t>根热镀锌角钢</w:t>
      </w:r>
      <w:r>
        <w:rPr>
          <w:color w:val="000000"/>
          <w:sz w:val="24"/>
        </w:rPr>
        <w:t>50×50×5(L=2500mm)</w:t>
      </w:r>
      <w:r>
        <w:rPr>
          <w:rFonts w:hAnsi="宋体"/>
          <w:color w:val="000000"/>
          <w:sz w:val="24"/>
        </w:rPr>
        <w:t>，用</w:t>
      </w:r>
      <w:r>
        <w:rPr>
          <w:color w:val="000000"/>
          <w:sz w:val="24"/>
        </w:rPr>
        <w:t>50×5</w:t>
      </w:r>
      <w:r>
        <w:rPr>
          <w:rFonts w:hAnsi="宋体"/>
          <w:color w:val="000000"/>
          <w:sz w:val="24"/>
        </w:rPr>
        <w:t>热镀锌扁钢将接地极与砼基础配筋网及杆地脚螺栓在地下部分全部焊接连成一电气整体。沿人行道每隔</w:t>
      </w:r>
      <w:r>
        <w:rPr>
          <w:color w:val="000000"/>
          <w:sz w:val="24"/>
        </w:rPr>
        <w:t>5m</w:t>
      </w:r>
      <w:r>
        <w:rPr>
          <w:rFonts w:hAnsi="宋体"/>
          <w:color w:val="000000"/>
          <w:sz w:val="24"/>
        </w:rPr>
        <w:t>设一垂直接地极，接地极垂直打入地下（其顶部埋深大于</w:t>
      </w:r>
      <w:r>
        <w:rPr>
          <w:color w:val="000000"/>
          <w:sz w:val="24"/>
        </w:rPr>
        <w:t>1m</w:t>
      </w:r>
      <w:r>
        <w:rPr>
          <w:rFonts w:hAnsi="宋体"/>
          <w:color w:val="000000"/>
          <w:sz w:val="24"/>
        </w:rPr>
        <w:t>），并与</w:t>
      </w:r>
      <w:r>
        <w:rPr>
          <w:color w:val="000000"/>
          <w:sz w:val="24"/>
        </w:rPr>
        <w:t>50×5</w:t>
      </w:r>
      <w:r>
        <w:rPr>
          <w:rFonts w:hAnsi="宋体"/>
          <w:color w:val="000000"/>
          <w:sz w:val="24"/>
        </w:rPr>
        <w:t>热镀锌扁钢焊接连通，焊接部位须进行防腐处理，接地电阻小于</w:t>
      </w:r>
      <w:r>
        <w:rPr>
          <w:color w:val="000000"/>
          <w:sz w:val="24"/>
        </w:rPr>
        <w:t>4</w:t>
      </w:r>
      <w:r>
        <w:rPr>
          <w:rFonts w:hAnsi="宋体"/>
          <w:color w:val="000000"/>
          <w:sz w:val="24"/>
        </w:rPr>
        <w:t>欧姆，不允许连接其它部门的地线。当土壤电阻率较高，接地电阻达不到要求时，可适量添加降阻剂或采用专用低阻接地模块代替角钢接地极，应保证接地电阻应</w:t>
      </w:r>
      <w:r>
        <w:rPr>
          <w:color w:val="000000"/>
          <w:sz w:val="24"/>
        </w:rPr>
        <w:t>≤4Ω</w:t>
      </w:r>
      <w:r>
        <w:rPr>
          <w:rFonts w:hAnsi="宋体"/>
          <w:color w:val="000000"/>
          <w:sz w:val="24"/>
        </w:rPr>
        <w:t>。</w:t>
      </w:r>
    </w:p>
    <w:p w14:paraId="3D6F83E3">
      <w:pPr>
        <w:numPr>
          <w:ilvl w:val="0"/>
          <w:numId w:val="12"/>
        </w:numPr>
        <w:ind w:firstLine="480"/>
        <w:rPr>
          <w:rFonts w:hint="eastAsia" w:ascii="宋体" w:hAnsi="宋体" w:eastAsia="宋体" w:cs="宋体"/>
          <w:szCs w:val="22"/>
        </w:rPr>
      </w:pPr>
      <w:r>
        <w:rPr>
          <w:rFonts w:hint="eastAsia" w:ascii="宋体" w:hAnsi="宋体" w:eastAsia="宋体" w:cs="宋体"/>
          <w:szCs w:val="22"/>
        </w:rPr>
        <w:t>防雷系统</w:t>
      </w:r>
    </w:p>
    <w:p w14:paraId="045238C6">
      <w:pPr>
        <w:spacing w:line="360" w:lineRule="auto"/>
        <w:ind w:firstLine="480" w:firstLineChars="200"/>
        <w:rPr>
          <w:color w:val="000000"/>
          <w:sz w:val="24"/>
          <w:szCs w:val="24"/>
        </w:rPr>
      </w:pPr>
      <w:r>
        <w:rPr>
          <w:color w:val="000000"/>
          <w:sz w:val="24"/>
          <w:szCs w:val="24"/>
        </w:rPr>
        <w:t>防雷：交通信号控制机电源进线处加装电源防雷器。</w:t>
      </w:r>
    </w:p>
    <w:p w14:paraId="02FBB597">
      <w:pPr>
        <w:spacing w:line="360" w:lineRule="auto"/>
        <w:ind w:firstLine="480" w:firstLineChars="200"/>
        <w:rPr>
          <w:color w:val="000000"/>
          <w:sz w:val="24"/>
        </w:rPr>
      </w:pPr>
      <w:r>
        <w:rPr>
          <w:color w:val="000000"/>
          <w:sz w:val="24"/>
          <w:szCs w:val="24"/>
        </w:rPr>
        <w:t>数据信号防雷：交通信号控制机数据信号进线处加装数据信号防雷器。</w:t>
      </w:r>
    </w:p>
    <w:p w14:paraId="597AC7AE">
      <w:pPr>
        <w:pStyle w:val="4"/>
        <w:bidi w:val="0"/>
        <w:ind w:left="720" w:leftChars="0" w:hanging="720" w:firstLineChars="0"/>
        <w:rPr>
          <w:rFonts w:hint="eastAsia"/>
        </w:rPr>
      </w:pPr>
      <w:r>
        <w:rPr>
          <w:rFonts w:hint="eastAsia"/>
        </w:rPr>
        <w:t xml:space="preserve"> 主要设备技术指标</w:t>
      </w:r>
    </w:p>
    <w:p w14:paraId="2998A1FF">
      <w:pPr>
        <w:numPr>
          <w:ilvl w:val="0"/>
          <w:numId w:val="13"/>
        </w:numPr>
        <w:ind w:firstLine="480"/>
        <w:rPr>
          <w:rFonts w:hint="eastAsia" w:ascii="宋体" w:hAnsi="宋体" w:eastAsia="宋体" w:cs="宋体"/>
          <w:szCs w:val="22"/>
        </w:rPr>
      </w:pPr>
      <w:r>
        <w:rPr>
          <w:rFonts w:hint="eastAsia" w:ascii="宋体" w:hAnsi="宋体" w:eastAsia="宋体" w:cs="宋体"/>
          <w:szCs w:val="22"/>
        </w:rPr>
        <w:t>机动车信号灯</w:t>
      </w:r>
    </w:p>
    <w:p w14:paraId="47549388">
      <w:pPr>
        <w:numPr>
          <w:ilvl w:val="0"/>
          <w:numId w:val="11"/>
        </w:numPr>
        <w:spacing w:line="360" w:lineRule="auto"/>
        <w:rPr>
          <w:color w:val="000000"/>
          <w:sz w:val="24"/>
        </w:rPr>
      </w:pPr>
      <w:r>
        <w:rPr>
          <w:rFonts w:hAnsi="宋体"/>
          <w:color w:val="000000"/>
          <w:sz w:val="24"/>
        </w:rPr>
        <w:t>信号灯单灯的光学性能、工作条件、机械强度、电气性能均符合国家标准《道路交通信号灯》（</w:t>
      </w:r>
      <w:r>
        <w:rPr>
          <w:color w:val="000000"/>
          <w:sz w:val="24"/>
        </w:rPr>
        <w:t>GB14887-2011</w:t>
      </w:r>
      <w:r>
        <w:rPr>
          <w:rFonts w:hAnsi="宋体"/>
          <w:color w:val="000000"/>
          <w:sz w:val="24"/>
        </w:rPr>
        <w:t>）</w:t>
      </w:r>
      <w:r>
        <w:rPr>
          <w:color w:val="000000"/>
          <w:sz w:val="24"/>
        </w:rPr>
        <w:t xml:space="preserve">1 </w:t>
      </w:r>
      <w:r>
        <w:rPr>
          <w:rFonts w:hAnsi="宋体"/>
          <w:color w:val="000000"/>
          <w:sz w:val="24"/>
        </w:rPr>
        <w:t>类</w:t>
      </w:r>
      <w:r>
        <w:rPr>
          <w:color w:val="000000"/>
          <w:sz w:val="24"/>
        </w:rPr>
        <w:t xml:space="preserve">1 </w:t>
      </w:r>
      <w:r>
        <w:rPr>
          <w:rFonts w:hAnsi="宋体"/>
          <w:color w:val="000000"/>
          <w:sz w:val="24"/>
        </w:rPr>
        <w:t>级（</w:t>
      </w:r>
      <w:r>
        <w:rPr>
          <w:color w:val="000000"/>
          <w:sz w:val="24"/>
        </w:rPr>
        <w:t xml:space="preserve">W </w:t>
      </w:r>
      <w:r>
        <w:rPr>
          <w:rFonts w:hAnsi="宋体"/>
          <w:color w:val="000000"/>
          <w:sz w:val="24"/>
        </w:rPr>
        <w:t>型）全部技术规定，并通过公安部交通安全产品质量监督检测中心的检测；</w:t>
      </w:r>
    </w:p>
    <w:p w14:paraId="59B7BE92">
      <w:pPr>
        <w:numPr>
          <w:ilvl w:val="0"/>
          <w:numId w:val="11"/>
        </w:numPr>
        <w:spacing w:line="360" w:lineRule="auto"/>
        <w:rPr>
          <w:color w:val="000000"/>
          <w:sz w:val="24"/>
        </w:rPr>
      </w:pPr>
      <w:r>
        <w:rPr>
          <w:color w:val="000000"/>
          <w:szCs w:val="28"/>
        </w:rPr>
        <w:t>φ</w:t>
      </w:r>
      <w:r>
        <w:rPr>
          <w:color w:val="000000"/>
          <w:sz w:val="24"/>
        </w:rPr>
        <w:t>400</w:t>
      </w:r>
      <w:r>
        <w:rPr>
          <w:rFonts w:hAnsi="宋体"/>
          <w:color w:val="000000"/>
          <w:sz w:val="24"/>
        </w:rPr>
        <w:t>型三联体红黄绿信号灯由三个单色</w:t>
      </w:r>
      <w:r>
        <w:rPr>
          <w:color w:val="000000"/>
          <w:sz w:val="24"/>
        </w:rPr>
        <w:t>(</w:t>
      </w:r>
      <w:r>
        <w:rPr>
          <w:rFonts w:hAnsi="宋体"/>
          <w:color w:val="000000"/>
          <w:sz w:val="24"/>
        </w:rPr>
        <w:t>红、黄、绿</w:t>
      </w:r>
      <w:r>
        <w:rPr>
          <w:color w:val="000000"/>
          <w:sz w:val="24"/>
        </w:rPr>
        <w:t>)</w:t>
      </w:r>
      <w:r>
        <w:rPr>
          <w:rFonts w:hAnsi="宋体"/>
          <w:color w:val="000000"/>
          <w:sz w:val="24"/>
        </w:rPr>
        <w:t>单元信号灯组合而成，单元信号灯以色片直径及外形尺寸标准规定为</w:t>
      </w:r>
      <w:r>
        <w:rPr>
          <w:color w:val="000000"/>
          <w:sz w:val="24"/>
        </w:rPr>
        <w:t>Ф370mm</w:t>
      </w:r>
      <w:r>
        <w:rPr>
          <w:rFonts w:hAnsi="宋体"/>
          <w:color w:val="000000"/>
          <w:sz w:val="24"/>
        </w:rPr>
        <w:t>；</w:t>
      </w:r>
    </w:p>
    <w:p w14:paraId="01E23D48">
      <w:pPr>
        <w:numPr>
          <w:ilvl w:val="0"/>
          <w:numId w:val="11"/>
        </w:numPr>
        <w:spacing w:line="360" w:lineRule="auto"/>
        <w:rPr>
          <w:color w:val="000000"/>
          <w:sz w:val="24"/>
        </w:rPr>
      </w:pPr>
      <w:r>
        <w:rPr>
          <w:rFonts w:hAnsi="宋体"/>
          <w:color w:val="000000"/>
          <w:sz w:val="24"/>
        </w:rPr>
        <w:t>使用寿命不少于</w:t>
      </w:r>
      <w:r>
        <w:rPr>
          <w:color w:val="000000"/>
          <w:sz w:val="24"/>
        </w:rPr>
        <w:t xml:space="preserve">50000 </w:t>
      </w:r>
      <w:r>
        <w:rPr>
          <w:rFonts w:hAnsi="宋体"/>
          <w:color w:val="000000"/>
          <w:sz w:val="24"/>
        </w:rPr>
        <w:t>小时；</w:t>
      </w:r>
    </w:p>
    <w:p w14:paraId="02A2BD7A">
      <w:pPr>
        <w:numPr>
          <w:ilvl w:val="0"/>
          <w:numId w:val="11"/>
        </w:numPr>
        <w:spacing w:line="360" w:lineRule="auto"/>
        <w:rPr>
          <w:color w:val="000000"/>
          <w:sz w:val="24"/>
        </w:rPr>
      </w:pPr>
      <w:r>
        <w:rPr>
          <w:rFonts w:hAnsi="宋体"/>
          <w:color w:val="000000"/>
          <w:sz w:val="24"/>
        </w:rPr>
        <w:t>功率小于等于</w:t>
      </w:r>
      <w:r>
        <w:rPr>
          <w:color w:val="000000"/>
          <w:sz w:val="24"/>
        </w:rPr>
        <w:t>20W</w:t>
      </w:r>
      <w:r>
        <w:rPr>
          <w:rFonts w:hAnsi="宋体"/>
          <w:color w:val="000000"/>
          <w:sz w:val="24"/>
        </w:rPr>
        <w:t>；</w:t>
      </w:r>
    </w:p>
    <w:p w14:paraId="72C395A8">
      <w:pPr>
        <w:numPr>
          <w:ilvl w:val="0"/>
          <w:numId w:val="11"/>
        </w:numPr>
        <w:spacing w:line="360" w:lineRule="auto"/>
        <w:rPr>
          <w:color w:val="000000"/>
          <w:sz w:val="24"/>
        </w:rPr>
      </w:pPr>
      <w:r>
        <w:rPr>
          <w:rFonts w:hAnsi="宋体"/>
          <w:color w:val="000000"/>
          <w:sz w:val="24"/>
        </w:rPr>
        <w:t>额定工作电压</w:t>
      </w:r>
      <w:r>
        <w:rPr>
          <w:color w:val="000000"/>
          <w:sz w:val="24"/>
        </w:rPr>
        <w:t>:220V/50Hz±3Hz</w:t>
      </w:r>
      <w:r>
        <w:rPr>
          <w:rFonts w:hAnsi="宋体"/>
          <w:color w:val="000000"/>
          <w:sz w:val="24"/>
        </w:rPr>
        <w:t>；</w:t>
      </w:r>
    </w:p>
    <w:p w14:paraId="493CF4C0">
      <w:pPr>
        <w:numPr>
          <w:ilvl w:val="0"/>
          <w:numId w:val="11"/>
        </w:numPr>
        <w:spacing w:line="360" w:lineRule="auto"/>
        <w:rPr>
          <w:color w:val="000000"/>
          <w:sz w:val="24"/>
        </w:rPr>
      </w:pPr>
      <w:r>
        <w:rPr>
          <w:rFonts w:hAnsi="宋体"/>
          <w:color w:val="000000"/>
          <w:sz w:val="24"/>
        </w:rPr>
        <w:t>亮度</w:t>
      </w:r>
      <w:r>
        <w:rPr>
          <w:color w:val="000000"/>
          <w:sz w:val="24"/>
        </w:rPr>
        <w:t>(cd):≥4000cd/</w:t>
      </w:r>
      <w:r>
        <w:rPr>
          <w:rFonts w:hAnsi="宋体"/>
          <w:color w:val="000000"/>
          <w:sz w:val="24"/>
        </w:rPr>
        <w:t>㎡；</w:t>
      </w:r>
    </w:p>
    <w:p w14:paraId="35B34B11">
      <w:pPr>
        <w:numPr>
          <w:ilvl w:val="0"/>
          <w:numId w:val="11"/>
        </w:numPr>
        <w:spacing w:line="360" w:lineRule="auto"/>
        <w:rPr>
          <w:color w:val="000000"/>
          <w:sz w:val="24"/>
        </w:rPr>
      </w:pPr>
      <w:r>
        <w:rPr>
          <w:rFonts w:hAnsi="宋体"/>
          <w:color w:val="000000"/>
          <w:sz w:val="24"/>
        </w:rPr>
        <w:t>防护等级</w:t>
      </w:r>
      <w:r>
        <w:rPr>
          <w:color w:val="000000"/>
          <w:sz w:val="24"/>
        </w:rPr>
        <w:t>:IP65</w:t>
      </w:r>
      <w:r>
        <w:rPr>
          <w:rFonts w:hAnsi="宋体"/>
          <w:color w:val="000000"/>
          <w:sz w:val="24"/>
        </w:rPr>
        <w:t>；</w:t>
      </w:r>
    </w:p>
    <w:p w14:paraId="0A8BE61E">
      <w:pPr>
        <w:numPr>
          <w:ilvl w:val="0"/>
          <w:numId w:val="13"/>
        </w:numPr>
        <w:ind w:firstLine="480"/>
        <w:rPr>
          <w:rFonts w:hint="eastAsia" w:ascii="宋体" w:hAnsi="宋体" w:eastAsia="宋体" w:cs="宋体"/>
          <w:szCs w:val="22"/>
        </w:rPr>
      </w:pPr>
      <w:r>
        <w:rPr>
          <w:rFonts w:hint="eastAsia" w:ascii="宋体" w:hAnsi="宋体" w:eastAsia="宋体" w:cs="宋体"/>
          <w:szCs w:val="22"/>
        </w:rPr>
        <w:t>人行信号灯</w:t>
      </w:r>
    </w:p>
    <w:p w14:paraId="13461D4A">
      <w:pPr>
        <w:numPr>
          <w:ilvl w:val="0"/>
          <w:numId w:val="11"/>
        </w:numPr>
        <w:spacing w:line="360" w:lineRule="auto"/>
        <w:rPr>
          <w:color w:val="000000"/>
          <w:sz w:val="24"/>
        </w:rPr>
      </w:pPr>
      <w:r>
        <w:rPr>
          <w:rFonts w:hAnsi="宋体"/>
          <w:color w:val="000000"/>
          <w:sz w:val="24"/>
        </w:rPr>
        <w:t>信号灯单灯的光学性能、工作条件、机械强度、电气性能均符合国家标准《道路交通信号灯》</w:t>
      </w:r>
      <w:r>
        <w:rPr>
          <w:color w:val="000000"/>
          <w:sz w:val="24"/>
        </w:rPr>
        <w:t xml:space="preserve">(GB14887-2011)1 </w:t>
      </w:r>
      <w:r>
        <w:rPr>
          <w:rFonts w:hAnsi="宋体"/>
          <w:color w:val="000000"/>
          <w:sz w:val="24"/>
        </w:rPr>
        <w:t>类</w:t>
      </w:r>
      <w:r>
        <w:rPr>
          <w:color w:val="000000"/>
          <w:sz w:val="24"/>
        </w:rPr>
        <w:t xml:space="preserve">1 </w:t>
      </w:r>
      <w:r>
        <w:rPr>
          <w:rFonts w:hAnsi="宋体"/>
          <w:color w:val="000000"/>
          <w:sz w:val="24"/>
        </w:rPr>
        <w:t>级（</w:t>
      </w:r>
      <w:r>
        <w:rPr>
          <w:color w:val="000000"/>
          <w:sz w:val="24"/>
        </w:rPr>
        <w:t xml:space="preserve">W </w:t>
      </w:r>
      <w:r>
        <w:rPr>
          <w:rFonts w:hAnsi="宋体"/>
          <w:color w:val="000000"/>
          <w:sz w:val="24"/>
        </w:rPr>
        <w:t>型）全部技术规定，并通过公安部交通安全产品质量监督检测中心的检测；</w:t>
      </w:r>
    </w:p>
    <w:p w14:paraId="4AC5768B">
      <w:pPr>
        <w:numPr>
          <w:ilvl w:val="0"/>
          <w:numId w:val="11"/>
        </w:numPr>
        <w:spacing w:line="360" w:lineRule="auto"/>
        <w:rPr>
          <w:color w:val="000000"/>
          <w:sz w:val="24"/>
        </w:rPr>
      </w:pPr>
      <w:r>
        <w:rPr>
          <w:color w:val="000000"/>
          <w:szCs w:val="28"/>
        </w:rPr>
        <w:t>φ</w:t>
      </w:r>
      <w:r>
        <w:rPr>
          <w:color w:val="000000"/>
          <w:sz w:val="24"/>
        </w:rPr>
        <w:t>300</w:t>
      </w:r>
      <w:r>
        <w:rPr>
          <w:rFonts w:hAnsi="宋体"/>
          <w:color w:val="000000"/>
          <w:sz w:val="24"/>
        </w:rPr>
        <w:t>型两联体红绿人行图案信号灯由两个单色</w:t>
      </w:r>
      <w:r>
        <w:rPr>
          <w:color w:val="000000"/>
          <w:sz w:val="24"/>
        </w:rPr>
        <w:t>(</w:t>
      </w:r>
      <w:r>
        <w:rPr>
          <w:rFonts w:hAnsi="宋体"/>
          <w:color w:val="000000"/>
          <w:sz w:val="24"/>
        </w:rPr>
        <w:t>红、绿</w:t>
      </w:r>
      <w:r>
        <w:rPr>
          <w:color w:val="000000"/>
          <w:sz w:val="24"/>
        </w:rPr>
        <w:t>)</w:t>
      </w:r>
      <w:r>
        <w:rPr>
          <w:rFonts w:hAnsi="宋体"/>
          <w:color w:val="000000"/>
          <w:sz w:val="24"/>
        </w:rPr>
        <w:t>单元信号灯组合而成，单元信号灯以色片直径及外形尺寸标准规定为</w:t>
      </w:r>
      <w:r>
        <w:rPr>
          <w:color w:val="000000"/>
          <w:sz w:val="24"/>
        </w:rPr>
        <w:t>Ф300mm</w:t>
      </w:r>
      <w:r>
        <w:rPr>
          <w:rFonts w:hAnsi="宋体"/>
          <w:color w:val="000000"/>
          <w:sz w:val="24"/>
        </w:rPr>
        <w:t>；</w:t>
      </w:r>
    </w:p>
    <w:p w14:paraId="60ED04A5">
      <w:pPr>
        <w:numPr>
          <w:ilvl w:val="0"/>
          <w:numId w:val="11"/>
        </w:numPr>
        <w:spacing w:line="360" w:lineRule="auto"/>
        <w:rPr>
          <w:color w:val="000000"/>
          <w:sz w:val="24"/>
        </w:rPr>
      </w:pPr>
      <w:r>
        <w:rPr>
          <w:rFonts w:hAnsi="宋体"/>
          <w:color w:val="000000"/>
          <w:sz w:val="24"/>
        </w:rPr>
        <w:t>其中红色信号为静止图案，绿色信号为动态图案；</w:t>
      </w:r>
    </w:p>
    <w:p w14:paraId="1A3F2EEA">
      <w:pPr>
        <w:numPr>
          <w:ilvl w:val="0"/>
          <w:numId w:val="11"/>
        </w:numPr>
        <w:spacing w:line="360" w:lineRule="auto"/>
        <w:rPr>
          <w:color w:val="000000"/>
          <w:sz w:val="24"/>
        </w:rPr>
      </w:pPr>
      <w:r>
        <w:rPr>
          <w:rFonts w:hAnsi="宋体"/>
          <w:color w:val="000000"/>
          <w:sz w:val="24"/>
        </w:rPr>
        <w:t>使用寿命不少于</w:t>
      </w:r>
      <w:r>
        <w:rPr>
          <w:color w:val="000000"/>
          <w:sz w:val="24"/>
        </w:rPr>
        <w:t xml:space="preserve">50000 </w:t>
      </w:r>
      <w:r>
        <w:rPr>
          <w:rFonts w:hAnsi="宋体"/>
          <w:color w:val="000000"/>
          <w:sz w:val="24"/>
        </w:rPr>
        <w:t>小时；</w:t>
      </w:r>
    </w:p>
    <w:p w14:paraId="4F7C1394">
      <w:pPr>
        <w:numPr>
          <w:ilvl w:val="0"/>
          <w:numId w:val="11"/>
        </w:numPr>
        <w:spacing w:line="360" w:lineRule="auto"/>
        <w:rPr>
          <w:color w:val="000000"/>
          <w:sz w:val="24"/>
        </w:rPr>
      </w:pPr>
      <w:r>
        <w:rPr>
          <w:rFonts w:hAnsi="宋体"/>
          <w:color w:val="000000"/>
          <w:sz w:val="24"/>
        </w:rPr>
        <w:t>功率小于等于</w:t>
      </w:r>
      <w:r>
        <w:rPr>
          <w:color w:val="000000"/>
          <w:sz w:val="24"/>
        </w:rPr>
        <w:t>15W</w:t>
      </w:r>
      <w:r>
        <w:rPr>
          <w:rFonts w:hAnsi="宋体"/>
          <w:color w:val="000000"/>
          <w:sz w:val="24"/>
        </w:rPr>
        <w:t>；</w:t>
      </w:r>
    </w:p>
    <w:p w14:paraId="0CD11412">
      <w:pPr>
        <w:numPr>
          <w:ilvl w:val="0"/>
          <w:numId w:val="11"/>
        </w:numPr>
        <w:spacing w:line="360" w:lineRule="auto"/>
        <w:rPr>
          <w:color w:val="000000"/>
          <w:sz w:val="24"/>
        </w:rPr>
      </w:pPr>
      <w:r>
        <w:rPr>
          <w:rFonts w:hAnsi="宋体"/>
          <w:color w:val="000000"/>
          <w:sz w:val="24"/>
        </w:rPr>
        <w:t>额定工作电压</w:t>
      </w:r>
      <w:r>
        <w:rPr>
          <w:color w:val="000000"/>
          <w:sz w:val="24"/>
        </w:rPr>
        <w:t>:220V/50Hz±3Hz</w:t>
      </w:r>
      <w:r>
        <w:rPr>
          <w:rFonts w:hAnsi="宋体"/>
          <w:color w:val="000000"/>
          <w:sz w:val="24"/>
        </w:rPr>
        <w:t>；</w:t>
      </w:r>
    </w:p>
    <w:p w14:paraId="65DF6072">
      <w:pPr>
        <w:numPr>
          <w:ilvl w:val="0"/>
          <w:numId w:val="11"/>
        </w:numPr>
        <w:spacing w:line="360" w:lineRule="auto"/>
        <w:rPr>
          <w:color w:val="000000"/>
          <w:sz w:val="24"/>
        </w:rPr>
      </w:pPr>
      <w:r>
        <w:rPr>
          <w:rFonts w:hAnsi="宋体"/>
          <w:color w:val="000000"/>
          <w:sz w:val="24"/>
        </w:rPr>
        <w:t>亮度</w:t>
      </w:r>
      <w:r>
        <w:rPr>
          <w:color w:val="000000"/>
          <w:sz w:val="24"/>
        </w:rPr>
        <w:t>(cd):≥4000cd/</w:t>
      </w:r>
      <w:r>
        <w:rPr>
          <w:rFonts w:hAnsi="宋体"/>
          <w:color w:val="000000"/>
          <w:sz w:val="24"/>
        </w:rPr>
        <w:t>㎡；</w:t>
      </w:r>
    </w:p>
    <w:p w14:paraId="7D5AED4B">
      <w:pPr>
        <w:numPr>
          <w:ilvl w:val="0"/>
          <w:numId w:val="11"/>
        </w:numPr>
        <w:spacing w:line="360" w:lineRule="auto"/>
        <w:rPr>
          <w:color w:val="000000"/>
          <w:sz w:val="24"/>
        </w:rPr>
      </w:pPr>
      <w:r>
        <w:rPr>
          <w:rFonts w:hAnsi="宋体"/>
          <w:color w:val="000000"/>
          <w:sz w:val="24"/>
        </w:rPr>
        <w:t>防护等级</w:t>
      </w:r>
      <w:r>
        <w:rPr>
          <w:color w:val="000000"/>
          <w:sz w:val="24"/>
        </w:rPr>
        <w:t>:IP65</w:t>
      </w:r>
      <w:r>
        <w:rPr>
          <w:rFonts w:hAnsi="宋体"/>
          <w:color w:val="000000"/>
          <w:sz w:val="24"/>
        </w:rPr>
        <w:t>；</w:t>
      </w:r>
    </w:p>
    <w:p w14:paraId="3B7CACA0">
      <w:pPr>
        <w:numPr>
          <w:ilvl w:val="0"/>
          <w:numId w:val="13"/>
        </w:numPr>
        <w:ind w:firstLine="480"/>
        <w:rPr>
          <w:rFonts w:hint="eastAsia" w:ascii="宋体" w:hAnsi="宋体" w:eastAsia="宋体" w:cs="宋体"/>
          <w:szCs w:val="22"/>
        </w:rPr>
      </w:pPr>
      <w:r>
        <w:rPr>
          <w:rFonts w:hint="eastAsia" w:ascii="宋体" w:hAnsi="宋体" w:eastAsia="宋体" w:cs="宋体"/>
          <w:szCs w:val="22"/>
        </w:rPr>
        <w:t>交通信号控制机</w:t>
      </w:r>
    </w:p>
    <w:p w14:paraId="2ED68A7B">
      <w:pPr>
        <w:numPr>
          <w:ilvl w:val="0"/>
          <w:numId w:val="14"/>
        </w:numPr>
        <w:spacing w:line="360" w:lineRule="auto"/>
        <w:ind w:left="0" w:leftChars="0" w:firstLine="425" w:firstLineChars="0"/>
        <w:rPr>
          <w:rFonts w:hint="eastAsia" w:ascii="宋体" w:hAnsi="宋体"/>
          <w:sz w:val="24"/>
          <w:szCs w:val="24"/>
        </w:rPr>
      </w:pPr>
      <w:r>
        <w:rPr>
          <w:rFonts w:hint="eastAsia" w:ascii="宋体" w:hAnsi="宋体"/>
          <w:sz w:val="24"/>
          <w:szCs w:val="24"/>
        </w:rPr>
        <w:t>交通信号控制机具体规格、型号最终以建设单位或主管部门确定。</w:t>
      </w:r>
    </w:p>
    <w:p w14:paraId="06736453">
      <w:pPr>
        <w:numPr>
          <w:ilvl w:val="0"/>
          <w:numId w:val="14"/>
        </w:numPr>
        <w:spacing w:line="360" w:lineRule="auto"/>
        <w:ind w:left="0" w:leftChars="0" w:firstLine="425" w:firstLineChars="0"/>
        <w:rPr>
          <w:rFonts w:hint="eastAsia" w:ascii="宋体" w:hAnsi="宋体"/>
          <w:sz w:val="24"/>
          <w:szCs w:val="24"/>
        </w:rPr>
      </w:pPr>
      <w:r>
        <w:rPr>
          <w:rFonts w:hint="eastAsia" w:ascii="宋体" w:hAnsi="宋体"/>
          <w:sz w:val="24"/>
          <w:szCs w:val="24"/>
        </w:rPr>
        <w:t>采用协调控制式控制机，具备感应控制式信号机的全部功能，带有通信接口，可与上位机或其它信号机联接，构成线协调或区域协调控制系统，协调式信号机的故障降级顺序可由上位机设定。</w:t>
      </w:r>
    </w:p>
    <w:p w14:paraId="05695A97">
      <w:pPr>
        <w:numPr>
          <w:ilvl w:val="0"/>
          <w:numId w:val="11"/>
        </w:numPr>
        <w:tabs>
          <w:tab w:val="left" w:pos="1545"/>
        </w:tabs>
        <w:spacing w:line="360" w:lineRule="auto"/>
        <w:rPr>
          <w:color w:val="000000"/>
          <w:sz w:val="24"/>
        </w:rPr>
      </w:pPr>
      <w:r>
        <w:rPr>
          <w:color w:val="000000"/>
          <w:sz w:val="24"/>
        </w:rPr>
        <w:t>60</w:t>
      </w:r>
      <w:r>
        <w:rPr>
          <w:rFonts w:hAnsi="宋体"/>
          <w:color w:val="000000"/>
          <w:sz w:val="24"/>
        </w:rPr>
        <w:t>个独立的信号灯输出端子；</w:t>
      </w:r>
    </w:p>
    <w:p w14:paraId="6E082815">
      <w:pPr>
        <w:numPr>
          <w:ilvl w:val="0"/>
          <w:numId w:val="11"/>
        </w:numPr>
        <w:tabs>
          <w:tab w:val="left" w:pos="1545"/>
        </w:tabs>
        <w:spacing w:line="360" w:lineRule="auto"/>
        <w:rPr>
          <w:color w:val="000000"/>
          <w:sz w:val="24"/>
        </w:rPr>
      </w:pPr>
      <w:r>
        <w:rPr>
          <w:rFonts w:hAnsi="宋体"/>
          <w:color w:val="000000"/>
          <w:sz w:val="24"/>
        </w:rPr>
        <w:t>具有手动、自动和远程控制</w:t>
      </w:r>
      <w:r>
        <w:rPr>
          <w:color w:val="000000"/>
          <w:sz w:val="24"/>
        </w:rPr>
        <w:t>3</w:t>
      </w:r>
      <w:r>
        <w:rPr>
          <w:rFonts w:hAnsi="宋体"/>
          <w:color w:val="000000"/>
          <w:sz w:val="24"/>
        </w:rPr>
        <w:t>种控制方式；</w:t>
      </w:r>
    </w:p>
    <w:p w14:paraId="4FE3A55F">
      <w:pPr>
        <w:numPr>
          <w:ilvl w:val="0"/>
          <w:numId w:val="11"/>
        </w:numPr>
        <w:tabs>
          <w:tab w:val="left" w:pos="1545"/>
        </w:tabs>
        <w:spacing w:line="360" w:lineRule="auto"/>
        <w:rPr>
          <w:color w:val="000000"/>
          <w:sz w:val="24"/>
        </w:rPr>
      </w:pPr>
      <w:r>
        <w:rPr>
          <w:rFonts w:hAnsi="宋体"/>
          <w:color w:val="000000"/>
          <w:sz w:val="24"/>
        </w:rPr>
        <w:t>可实现定时多方案、无缆协调、自适应、区域协调等控制功能；</w:t>
      </w:r>
    </w:p>
    <w:p w14:paraId="23F90A93">
      <w:pPr>
        <w:numPr>
          <w:ilvl w:val="0"/>
          <w:numId w:val="11"/>
        </w:numPr>
        <w:tabs>
          <w:tab w:val="left" w:pos="1545"/>
        </w:tabs>
        <w:spacing w:line="360" w:lineRule="auto"/>
        <w:rPr>
          <w:color w:val="000000"/>
          <w:sz w:val="24"/>
        </w:rPr>
      </w:pPr>
      <w:r>
        <w:rPr>
          <w:rFonts w:hAnsi="宋体"/>
          <w:color w:val="000000"/>
          <w:sz w:val="24"/>
        </w:rPr>
        <w:t>在线修改日期、时间、日时方案、配时方案等控制参数；</w:t>
      </w:r>
    </w:p>
    <w:p w14:paraId="2CFDFE29">
      <w:pPr>
        <w:numPr>
          <w:ilvl w:val="0"/>
          <w:numId w:val="11"/>
        </w:numPr>
        <w:tabs>
          <w:tab w:val="left" w:pos="1545"/>
        </w:tabs>
        <w:spacing w:line="360" w:lineRule="auto"/>
        <w:rPr>
          <w:color w:val="000000"/>
          <w:sz w:val="24"/>
        </w:rPr>
      </w:pPr>
      <w:r>
        <w:rPr>
          <w:rFonts w:hAnsi="宋体"/>
          <w:color w:val="000000"/>
          <w:sz w:val="24"/>
        </w:rPr>
        <w:t>每天可划分</w:t>
      </w:r>
      <w:r>
        <w:rPr>
          <w:color w:val="000000"/>
          <w:sz w:val="24"/>
        </w:rPr>
        <w:t>36</w:t>
      </w:r>
      <w:r>
        <w:rPr>
          <w:rFonts w:hAnsi="宋体"/>
          <w:color w:val="000000"/>
          <w:sz w:val="24"/>
        </w:rPr>
        <w:t>个时段；可存储</w:t>
      </w:r>
      <w:r>
        <w:rPr>
          <w:color w:val="000000"/>
          <w:sz w:val="24"/>
        </w:rPr>
        <w:t>7</w:t>
      </w:r>
      <w:r>
        <w:rPr>
          <w:rFonts w:hAnsi="宋体"/>
          <w:color w:val="000000"/>
          <w:sz w:val="24"/>
        </w:rPr>
        <w:t>种日时方案</w:t>
      </w:r>
      <w:r>
        <w:rPr>
          <w:color w:val="000000"/>
          <w:sz w:val="24"/>
        </w:rPr>
        <w:t>,42</w:t>
      </w:r>
      <w:r>
        <w:rPr>
          <w:rFonts w:hAnsi="宋体"/>
          <w:color w:val="000000"/>
          <w:sz w:val="24"/>
        </w:rPr>
        <w:t>种配时方案；</w:t>
      </w:r>
    </w:p>
    <w:p w14:paraId="04ADA586">
      <w:pPr>
        <w:numPr>
          <w:ilvl w:val="0"/>
          <w:numId w:val="11"/>
        </w:numPr>
        <w:tabs>
          <w:tab w:val="left" w:pos="1545"/>
        </w:tabs>
        <w:spacing w:line="360" w:lineRule="auto"/>
        <w:rPr>
          <w:color w:val="000000"/>
          <w:sz w:val="24"/>
        </w:rPr>
      </w:pPr>
      <w:r>
        <w:rPr>
          <w:rFonts w:hAnsi="宋体"/>
          <w:color w:val="000000"/>
          <w:sz w:val="24"/>
        </w:rPr>
        <w:t>在线显示各相位状态；</w:t>
      </w:r>
    </w:p>
    <w:p w14:paraId="5B150E3E">
      <w:pPr>
        <w:numPr>
          <w:ilvl w:val="0"/>
          <w:numId w:val="11"/>
        </w:numPr>
        <w:tabs>
          <w:tab w:val="left" w:pos="1545"/>
        </w:tabs>
        <w:spacing w:line="360" w:lineRule="auto"/>
        <w:rPr>
          <w:color w:val="000000"/>
          <w:sz w:val="24"/>
        </w:rPr>
      </w:pPr>
      <w:r>
        <w:rPr>
          <w:rFonts w:hAnsi="宋体"/>
          <w:color w:val="000000"/>
          <w:sz w:val="24"/>
        </w:rPr>
        <w:t>相位冲突监视和控制，信号灯故障检测及报警；</w:t>
      </w:r>
    </w:p>
    <w:p w14:paraId="03DF8D45">
      <w:pPr>
        <w:numPr>
          <w:ilvl w:val="0"/>
          <w:numId w:val="11"/>
        </w:numPr>
        <w:tabs>
          <w:tab w:val="left" w:pos="1545"/>
        </w:tabs>
        <w:spacing w:line="360" w:lineRule="auto"/>
        <w:rPr>
          <w:color w:val="000000"/>
          <w:sz w:val="24"/>
        </w:rPr>
      </w:pPr>
      <w:r>
        <w:rPr>
          <w:rFonts w:hAnsi="宋体"/>
          <w:color w:val="000000"/>
          <w:sz w:val="24"/>
        </w:rPr>
        <w:t>提供二个</w:t>
      </w:r>
      <w:r>
        <w:rPr>
          <w:color w:val="000000"/>
          <w:sz w:val="24"/>
        </w:rPr>
        <w:t>EIA RS-232C</w:t>
      </w:r>
      <w:r>
        <w:rPr>
          <w:rFonts w:hAnsi="宋体"/>
          <w:color w:val="000000"/>
          <w:sz w:val="24"/>
        </w:rPr>
        <w:t>（</w:t>
      </w:r>
      <w:r>
        <w:rPr>
          <w:color w:val="000000"/>
          <w:sz w:val="24"/>
        </w:rPr>
        <w:t>DB-9</w:t>
      </w:r>
      <w:r>
        <w:rPr>
          <w:rFonts w:hAnsi="宋体"/>
          <w:color w:val="000000"/>
          <w:sz w:val="24"/>
        </w:rPr>
        <w:t>）和一个</w:t>
      </w:r>
      <w:r>
        <w:rPr>
          <w:color w:val="000000"/>
          <w:sz w:val="24"/>
        </w:rPr>
        <w:t xml:space="preserve">10/100 Base-T Ethernet </w:t>
      </w:r>
      <w:r>
        <w:rPr>
          <w:rFonts w:hAnsi="宋体"/>
          <w:color w:val="000000"/>
          <w:sz w:val="24"/>
        </w:rPr>
        <w:t>以太网接口（</w:t>
      </w:r>
      <w:r>
        <w:rPr>
          <w:color w:val="000000"/>
          <w:sz w:val="24"/>
        </w:rPr>
        <w:t>RJ-45</w:t>
      </w:r>
      <w:r>
        <w:rPr>
          <w:rFonts w:hAnsi="宋体"/>
          <w:color w:val="000000"/>
          <w:sz w:val="24"/>
        </w:rPr>
        <w:t>）通讯接口；</w:t>
      </w:r>
    </w:p>
    <w:p w14:paraId="0C85BA92">
      <w:pPr>
        <w:numPr>
          <w:ilvl w:val="0"/>
          <w:numId w:val="11"/>
        </w:numPr>
        <w:tabs>
          <w:tab w:val="left" w:pos="1545"/>
        </w:tabs>
        <w:spacing w:line="360" w:lineRule="auto"/>
        <w:rPr>
          <w:color w:val="000000"/>
          <w:sz w:val="24"/>
        </w:rPr>
      </w:pPr>
      <w:r>
        <w:rPr>
          <w:rFonts w:hAnsi="宋体"/>
          <w:color w:val="000000"/>
          <w:sz w:val="24"/>
        </w:rPr>
        <w:t>适合于单路口控制和主干道控制，出现故障时系统可自动降级使用；</w:t>
      </w:r>
    </w:p>
    <w:p w14:paraId="75D17CD2">
      <w:pPr>
        <w:numPr>
          <w:ilvl w:val="0"/>
          <w:numId w:val="11"/>
        </w:numPr>
        <w:tabs>
          <w:tab w:val="left" w:pos="1545"/>
        </w:tabs>
        <w:spacing w:line="360" w:lineRule="auto"/>
        <w:rPr>
          <w:color w:val="000000"/>
          <w:sz w:val="24"/>
        </w:rPr>
      </w:pPr>
      <w:r>
        <w:rPr>
          <w:rFonts w:hAnsi="宋体"/>
          <w:color w:val="000000"/>
          <w:sz w:val="24"/>
        </w:rPr>
        <w:t>可连接</w:t>
      </w:r>
      <w:r>
        <w:rPr>
          <w:color w:val="000000"/>
          <w:sz w:val="24"/>
        </w:rPr>
        <w:t>16</w:t>
      </w:r>
      <w:r>
        <w:rPr>
          <w:rFonts w:hAnsi="宋体"/>
          <w:color w:val="000000"/>
          <w:sz w:val="24"/>
        </w:rPr>
        <w:t>路车辆检测器；</w:t>
      </w:r>
    </w:p>
    <w:p w14:paraId="185988F8">
      <w:pPr>
        <w:numPr>
          <w:ilvl w:val="0"/>
          <w:numId w:val="11"/>
        </w:numPr>
        <w:spacing w:line="360" w:lineRule="auto"/>
        <w:rPr>
          <w:color w:val="000000"/>
          <w:sz w:val="24"/>
        </w:rPr>
      </w:pPr>
      <w:r>
        <w:rPr>
          <w:rFonts w:hAnsi="宋体"/>
          <w:color w:val="000000"/>
          <w:sz w:val="24"/>
        </w:rPr>
        <w:t>控制最大相位数：</w:t>
      </w:r>
      <w:r>
        <w:rPr>
          <w:color w:val="000000"/>
          <w:sz w:val="24"/>
        </w:rPr>
        <w:t xml:space="preserve"> 20</w:t>
      </w:r>
      <w:r>
        <w:rPr>
          <w:rFonts w:hAnsi="宋体"/>
          <w:color w:val="000000"/>
          <w:sz w:val="24"/>
        </w:rPr>
        <w:t>个；</w:t>
      </w:r>
    </w:p>
    <w:p w14:paraId="437837C2">
      <w:pPr>
        <w:numPr>
          <w:ilvl w:val="0"/>
          <w:numId w:val="11"/>
        </w:numPr>
        <w:spacing w:line="360" w:lineRule="auto"/>
        <w:rPr>
          <w:color w:val="000000"/>
          <w:sz w:val="24"/>
        </w:rPr>
      </w:pPr>
      <w:r>
        <w:rPr>
          <w:rFonts w:hAnsi="宋体"/>
          <w:color w:val="000000"/>
          <w:sz w:val="24"/>
        </w:rPr>
        <w:t>驱动能力：</w:t>
      </w:r>
      <w:r>
        <w:rPr>
          <w:color w:val="000000"/>
          <w:sz w:val="24"/>
        </w:rPr>
        <w:t xml:space="preserve"> 500W/220V/</w:t>
      </w:r>
      <w:r>
        <w:rPr>
          <w:rFonts w:hAnsi="宋体"/>
          <w:color w:val="000000"/>
          <w:sz w:val="24"/>
        </w:rPr>
        <w:t>路；</w:t>
      </w:r>
    </w:p>
    <w:p w14:paraId="688F3C28">
      <w:pPr>
        <w:numPr>
          <w:ilvl w:val="0"/>
          <w:numId w:val="11"/>
        </w:numPr>
        <w:spacing w:line="360" w:lineRule="auto"/>
        <w:rPr>
          <w:color w:val="000000"/>
          <w:sz w:val="24"/>
        </w:rPr>
      </w:pPr>
      <w:r>
        <w:rPr>
          <w:rFonts w:hAnsi="宋体"/>
          <w:color w:val="000000"/>
          <w:sz w:val="24"/>
        </w:rPr>
        <w:t>工作电压：</w:t>
      </w:r>
      <w:r>
        <w:rPr>
          <w:color w:val="000000"/>
          <w:sz w:val="24"/>
        </w:rPr>
        <w:t xml:space="preserve">  AC176V</w:t>
      </w:r>
      <w:r>
        <w:rPr>
          <w:rFonts w:hAnsi="宋体"/>
          <w:color w:val="000000"/>
          <w:sz w:val="24"/>
        </w:rPr>
        <w:t>～</w:t>
      </w:r>
      <w:r>
        <w:rPr>
          <w:color w:val="000000"/>
          <w:sz w:val="24"/>
        </w:rPr>
        <w:t>264V</w:t>
      </w:r>
      <w:r>
        <w:rPr>
          <w:rFonts w:hAnsi="宋体"/>
          <w:color w:val="000000"/>
          <w:sz w:val="24"/>
        </w:rPr>
        <w:t>；</w:t>
      </w:r>
    </w:p>
    <w:p w14:paraId="607A3618">
      <w:pPr>
        <w:numPr>
          <w:ilvl w:val="0"/>
          <w:numId w:val="11"/>
        </w:numPr>
        <w:spacing w:line="360" w:lineRule="auto"/>
        <w:rPr>
          <w:color w:val="000000"/>
          <w:sz w:val="24"/>
        </w:rPr>
      </w:pPr>
      <w:r>
        <w:rPr>
          <w:rFonts w:hAnsi="宋体"/>
          <w:color w:val="000000"/>
          <w:sz w:val="24"/>
        </w:rPr>
        <w:t>绝缘等级：</w:t>
      </w:r>
      <w:r>
        <w:rPr>
          <w:color w:val="000000"/>
          <w:sz w:val="24"/>
        </w:rPr>
        <w:t xml:space="preserve"> </w:t>
      </w:r>
      <w:r>
        <w:rPr>
          <w:rFonts w:hAnsi="宋体"/>
          <w:color w:val="000000"/>
          <w:sz w:val="24"/>
        </w:rPr>
        <w:t>≧</w:t>
      </w:r>
      <w:r>
        <w:rPr>
          <w:color w:val="000000"/>
          <w:sz w:val="24"/>
        </w:rPr>
        <w:t>10MΩ</w:t>
      </w:r>
      <w:r>
        <w:rPr>
          <w:rFonts w:hAnsi="宋体"/>
          <w:color w:val="000000"/>
          <w:sz w:val="24"/>
        </w:rPr>
        <w:t>；</w:t>
      </w:r>
    </w:p>
    <w:p w14:paraId="06B86E8F">
      <w:pPr>
        <w:numPr>
          <w:ilvl w:val="0"/>
          <w:numId w:val="11"/>
        </w:numPr>
        <w:spacing w:line="360" w:lineRule="auto"/>
        <w:rPr>
          <w:color w:val="000000"/>
          <w:sz w:val="24"/>
        </w:rPr>
      </w:pPr>
      <w:r>
        <w:rPr>
          <w:rFonts w:hAnsi="宋体"/>
          <w:color w:val="000000"/>
          <w:sz w:val="24"/>
        </w:rPr>
        <w:t>耐压等级</w:t>
      </w:r>
      <w:r>
        <w:rPr>
          <w:color w:val="000000"/>
          <w:sz w:val="24"/>
        </w:rPr>
        <w:t>:  1500VAC  50HZ</w:t>
      </w:r>
      <w:r>
        <w:rPr>
          <w:rFonts w:hAnsi="宋体"/>
          <w:color w:val="000000"/>
          <w:sz w:val="24"/>
        </w:rPr>
        <w:t>；</w:t>
      </w:r>
    </w:p>
    <w:p w14:paraId="2026E9E4">
      <w:pPr>
        <w:numPr>
          <w:ilvl w:val="0"/>
          <w:numId w:val="11"/>
        </w:numPr>
        <w:spacing w:line="360" w:lineRule="auto"/>
        <w:rPr>
          <w:color w:val="000000"/>
          <w:sz w:val="24"/>
        </w:rPr>
      </w:pPr>
      <w:r>
        <w:rPr>
          <w:rFonts w:hAnsi="宋体"/>
          <w:color w:val="000000"/>
          <w:sz w:val="24"/>
        </w:rPr>
        <w:t>工作环境温度：</w:t>
      </w:r>
      <w:r>
        <w:rPr>
          <w:color w:val="000000"/>
          <w:sz w:val="24"/>
        </w:rPr>
        <w:t xml:space="preserve"> -40</w:t>
      </w:r>
      <w:r>
        <w:rPr>
          <w:rFonts w:hAnsi="宋体"/>
          <w:color w:val="000000"/>
          <w:sz w:val="24"/>
        </w:rPr>
        <w:t>℃～</w:t>
      </w:r>
      <w:r>
        <w:rPr>
          <w:color w:val="000000"/>
          <w:sz w:val="24"/>
        </w:rPr>
        <w:t>70</w:t>
      </w:r>
      <w:r>
        <w:rPr>
          <w:rFonts w:hAnsi="宋体"/>
          <w:color w:val="000000"/>
          <w:sz w:val="24"/>
        </w:rPr>
        <w:t>℃；</w:t>
      </w:r>
    </w:p>
    <w:p w14:paraId="4D5A3986">
      <w:pPr>
        <w:numPr>
          <w:ilvl w:val="0"/>
          <w:numId w:val="11"/>
        </w:numPr>
        <w:spacing w:line="360" w:lineRule="auto"/>
        <w:rPr>
          <w:color w:val="000000"/>
          <w:sz w:val="24"/>
        </w:rPr>
      </w:pPr>
      <w:r>
        <w:rPr>
          <w:rFonts w:hAnsi="宋体"/>
          <w:color w:val="000000"/>
          <w:sz w:val="24"/>
        </w:rPr>
        <w:t>工作环境相对湿度：</w:t>
      </w:r>
      <w:r>
        <w:rPr>
          <w:color w:val="000000"/>
          <w:sz w:val="24"/>
        </w:rPr>
        <w:t>20</w:t>
      </w:r>
      <w:r>
        <w:rPr>
          <w:rFonts w:hAnsi="宋体"/>
          <w:color w:val="000000"/>
          <w:sz w:val="24"/>
        </w:rPr>
        <w:t>～</w:t>
      </w:r>
      <w:r>
        <w:rPr>
          <w:color w:val="000000"/>
          <w:sz w:val="24"/>
        </w:rPr>
        <w:t>95%</w:t>
      </w:r>
      <w:r>
        <w:rPr>
          <w:rFonts w:hAnsi="宋体"/>
          <w:color w:val="000000"/>
          <w:sz w:val="24"/>
        </w:rPr>
        <w:t>；</w:t>
      </w:r>
    </w:p>
    <w:p w14:paraId="3D99437C">
      <w:pPr>
        <w:numPr>
          <w:ilvl w:val="0"/>
          <w:numId w:val="13"/>
        </w:numPr>
        <w:ind w:firstLine="480"/>
        <w:rPr>
          <w:rFonts w:hint="eastAsia" w:ascii="宋体" w:hAnsi="宋体" w:eastAsia="宋体" w:cs="宋体"/>
          <w:szCs w:val="22"/>
        </w:rPr>
      </w:pPr>
      <w:r>
        <w:rPr>
          <w:rFonts w:hint="eastAsia" w:ascii="宋体" w:hAnsi="宋体" w:eastAsia="宋体" w:cs="宋体"/>
          <w:szCs w:val="22"/>
        </w:rPr>
        <w:t>线缆材料</w:t>
      </w:r>
    </w:p>
    <w:p w14:paraId="0C9A7757">
      <w:pPr>
        <w:numPr>
          <w:ilvl w:val="0"/>
          <w:numId w:val="11"/>
        </w:numPr>
        <w:spacing w:line="360" w:lineRule="auto"/>
        <w:rPr>
          <w:color w:val="000000"/>
          <w:sz w:val="24"/>
        </w:rPr>
      </w:pPr>
      <w:r>
        <w:rPr>
          <w:rFonts w:hAnsi="宋体"/>
          <w:color w:val="000000"/>
          <w:sz w:val="24"/>
        </w:rPr>
        <w:t>电缆生产厂家应具有《中国国家强制性产品认证证书（</w:t>
      </w:r>
      <w:r>
        <w:rPr>
          <w:color w:val="000000"/>
          <w:sz w:val="24"/>
        </w:rPr>
        <w:t xml:space="preserve">3C </w:t>
      </w:r>
      <w:r>
        <w:rPr>
          <w:rFonts w:hAnsi="宋体"/>
          <w:color w:val="000000"/>
          <w:sz w:val="24"/>
        </w:rPr>
        <w:t>认证）》以及质检部门产品检验报告。</w:t>
      </w:r>
    </w:p>
    <w:p w14:paraId="0D80365C">
      <w:pPr>
        <w:numPr>
          <w:ilvl w:val="0"/>
          <w:numId w:val="11"/>
        </w:numPr>
        <w:spacing w:line="360" w:lineRule="auto"/>
        <w:rPr>
          <w:color w:val="000000"/>
          <w:sz w:val="24"/>
        </w:rPr>
      </w:pPr>
      <w:r>
        <w:rPr>
          <w:rFonts w:hAnsi="宋体"/>
          <w:color w:val="000000"/>
          <w:sz w:val="24"/>
        </w:rPr>
        <w:t>信号控制系统供电电缆应采用多支铜芯交联聚乙烯护套钢带铠装电力电缆（</w:t>
      </w:r>
      <w:r>
        <w:rPr>
          <w:color w:val="000000"/>
          <w:sz w:val="24"/>
        </w:rPr>
        <w:t>YJV</w:t>
      </w:r>
      <w:r>
        <w:rPr>
          <w:color w:val="000000"/>
          <w:sz w:val="24"/>
          <w:vertAlign w:val="subscript"/>
        </w:rPr>
        <w:t>22</w:t>
      </w:r>
      <w:r>
        <w:rPr>
          <w:rFonts w:hAnsi="宋体"/>
          <w:color w:val="000000"/>
          <w:sz w:val="24"/>
        </w:rPr>
        <w:t>）、线芯标称面积根据路口信号实际情况而定，详见设计图纸。</w:t>
      </w:r>
    </w:p>
    <w:p w14:paraId="401BE8C1">
      <w:pPr>
        <w:numPr>
          <w:ilvl w:val="0"/>
          <w:numId w:val="11"/>
        </w:numPr>
        <w:spacing w:line="360" w:lineRule="auto"/>
        <w:rPr>
          <w:color w:val="000000"/>
          <w:sz w:val="24"/>
        </w:rPr>
      </w:pPr>
      <w:r>
        <w:rPr>
          <w:rFonts w:hAnsi="宋体"/>
          <w:color w:val="000000"/>
          <w:sz w:val="24"/>
        </w:rPr>
        <w:t>交通灯信号控制电缆应采用多支铜芯、铠装聚氯乙烯绝缘和护套（</w:t>
      </w:r>
      <w:r>
        <w:rPr>
          <w:color w:val="000000"/>
          <w:sz w:val="24"/>
        </w:rPr>
        <w:t>KVV</w:t>
      </w:r>
      <w:r>
        <w:rPr>
          <w:color w:val="000000"/>
          <w:sz w:val="24"/>
          <w:vertAlign w:val="subscript"/>
        </w:rPr>
        <w:t>22</w:t>
      </w:r>
      <w:r>
        <w:rPr>
          <w:rFonts w:hAnsi="宋体"/>
          <w:color w:val="000000"/>
          <w:sz w:val="24"/>
        </w:rPr>
        <w:t>）、线芯标称面积不少于</w:t>
      </w:r>
      <w:r>
        <w:rPr>
          <w:color w:val="000000"/>
          <w:sz w:val="24"/>
        </w:rPr>
        <w:t>2.5mm</w:t>
      </w:r>
      <w:r>
        <w:rPr>
          <w:color w:val="000000"/>
          <w:sz w:val="24"/>
          <w:vertAlign w:val="superscript"/>
        </w:rPr>
        <w:t>2</w:t>
      </w:r>
      <w:r>
        <w:rPr>
          <w:rFonts w:hAnsi="宋体"/>
          <w:color w:val="000000"/>
          <w:sz w:val="24"/>
        </w:rPr>
        <w:t>。</w:t>
      </w:r>
    </w:p>
    <w:p w14:paraId="5381197F">
      <w:pPr>
        <w:numPr>
          <w:ilvl w:val="0"/>
          <w:numId w:val="11"/>
        </w:numPr>
        <w:spacing w:line="360" w:lineRule="auto"/>
        <w:rPr>
          <w:color w:val="000000"/>
          <w:sz w:val="24"/>
        </w:rPr>
      </w:pPr>
      <w:r>
        <w:rPr>
          <w:rFonts w:hAnsi="宋体"/>
          <w:color w:val="000000"/>
          <w:sz w:val="24"/>
        </w:rPr>
        <w:t>机动车信号灯采用十</w:t>
      </w:r>
      <w:r>
        <w:rPr>
          <w:rFonts w:hint="eastAsia" w:hAnsi="宋体"/>
          <w:color w:val="000000"/>
          <w:sz w:val="24"/>
        </w:rPr>
        <w:t>四</w:t>
      </w:r>
      <w:r>
        <w:rPr>
          <w:rFonts w:hAnsi="宋体"/>
          <w:color w:val="000000"/>
          <w:sz w:val="24"/>
        </w:rPr>
        <w:t>芯电缆连接，绿、黄、红颜色电缆分别连接信号灯对应的</w:t>
      </w:r>
      <w:r>
        <w:rPr>
          <w:color w:val="000000"/>
          <w:sz w:val="24"/>
        </w:rPr>
        <w:t xml:space="preserve">3 </w:t>
      </w:r>
      <w:r>
        <w:rPr>
          <w:rFonts w:hAnsi="宋体"/>
          <w:color w:val="000000"/>
          <w:sz w:val="24"/>
        </w:rPr>
        <w:t>种颜色；一处机动车信号灯采用一根电缆与信号机连接，中间严禁接驳。</w:t>
      </w:r>
    </w:p>
    <w:p w14:paraId="2E5E8969">
      <w:pPr>
        <w:numPr>
          <w:ilvl w:val="0"/>
          <w:numId w:val="11"/>
        </w:numPr>
        <w:spacing w:line="360" w:lineRule="auto"/>
        <w:rPr>
          <w:color w:val="000000"/>
          <w:sz w:val="24"/>
        </w:rPr>
      </w:pPr>
      <w:r>
        <w:rPr>
          <w:rFonts w:hAnsi="宋体"/>
          <w:color w:val="000000"/>
          <w:sz w:val="24"/>
        </w:rPr>
        <w:t>行人信号灯采用五芯电缆连接；一组行人信号灯采用一根电缆与信号机连接，中间严禁接驳。</w:t>
      </w:r>
    </w:p>
    <w:p w14:paraId="769ACE52">
      <w:pPr>
        <w:numPr>
          <w:ilvl w:val="0"/>
          <w:numId w:val="11"/>
        </w:numPr>
        <w:spacing w:line="360" w:lineRule="auto"/>
        <w:rPr>
          <w:color w:val="000000"/>
          <w:sz w:val="24"/>
        </w:rPr>
      </w:pPr>
      <w:r>
        <w:rPr>
          <w:rFonts w:hAnsi="宋体"/>
          <w:color w:val="000000"/>
          <w:sz w:val="24"/>
        </w:rPr>
        <w:t>保护接地线应采用铜芯、黄绿间条聚氯乙烯绝缘（</w:t>
      </w:r>
      <w:r>
        <w:rPr>
          <w:color w:val="000000"/>
          <w:sz w:val="24"/>
        </w:rPr>
        <w:t>BVR</w:t>
      </w:r>
      <w:r>
        <w:rPr>
          <w:rFonts w:hAnsi="宋体"/>
          <w:color w:val="000000"/>
          <w:sz w:val="24"/>
        </w:rPr>
        <w:t>）、线芯标称面积不少于</w:t>
      </w:r>
      <w:r>
        <w:rPr>
          <w:color w:val="000000"/>
          <w:sz w:val="24"/>
        </w:rPr>
        <w:t>6mm</w:t>
      </w:r>
      <w:r>
        <w:rPr>
          <w:color w:val="000000"/>
          <w:sz w:val="24"/>
          <w:vertAlign w:val="superscript"/>
        </w:rPr>
        <w:t>2</w:t>
      </w:r>
      <w:r>
        <w:rPr>
          <w:color w:val="000000"/>
          <w:sz w:val="24"/>
        </w:rPr>
        <w:t xml:space="preserve"> </w:t>
      </w:r>
      <w:r>
        <w:rPr>
          <w:rFonts w:hAnsi="宋体"/>
          <w:color w:val="000000"/>
          <w:sz w:val="24"/>
        </w:rPr>
        <w:t>的单芯线。</w:t>
      </w:r>
    </w:p>
    <w:p w14:paraId="49D0889D">
      <w:pPr>
        <w:pStyle w:val="4"/>
        <w:bidi w:val="0"/>
        <w:ind w:left="720" w:leftChars="0" w:hanging="720" w:firstLineChars="0"/>
        <w:rPr>
          <w:rFonts w:hint="eastAsia"/>
        </w:rPr>
      </w:pPr>
      <w:r>
        <w:rPr>
          <w:rFonts w:hint="eastAsia"/>
        </w:rPr>
        <w:t>平交口处交通流划分</w:t>
      </w:r>
    </w:p>
    <w:p w14:paraId="3C7EA006">
      <w:pPr>
        <w:tabs>
          <w:tab w:val="left" w:pos="360"/>
        </w:tabs>
        <w:spacing w:line="360" w:lineRule="auto"/>
        <w:ind w:firstLine="480" w:firstLineChars="200"/>
        <w:rPr>
          <w:rFonts w:hint="eastAsia" w:hAnsi="宋体"/>
          <w:color w:val="000000"/>
          <w:sz w:val="24"/>
        </w:rPr>
      </w:pPr>
      <w:r>
        <w:rPr>
          <w:rFonts w:hAnsi="宋体"/>
          <w:color w:val="000000"/>
          <w:sz w:val="24"/>
        </w:rPr>
        <w:t>平交口处机动车根据各个方向上的机动车信号灯提示行驶；非机动车和行人根据人行横道信号灯提示从人行道上通过</w:t>
      </w:r>
      <w:r>
        <w:rPr>
          <w:rFonts w:hint="eastAsia" w:hAnsi="宋体"/>
          <w:color w:val="000000"/>
          <w:sz w:val="24"/>
        </w:rPr>
        <w:t>。</w:t>
      </w:r>
    </w:p>
    <w:p w14:paraId="39105E9D">
      <w:pPr>
        <w:pStyle w:val="2"/>
        <w:bidi w:val="0"/>
        <w:ind w:left="432" w:leftChars="0" w:hanging="432" w:firstLineChars="0"/>
        <w:rPr>
          <w:rFonts w:hint="eastAsia"/>
          <w:lang w:val="en-US" w:eastAsia="zh-CN"/>
        </w:rPr>
      </w:pPr>
      <w:r>
        <w:rPr>
          <w:rFonts w:hint="eastAsia"/>
          <w:lang w:val="en-US" w:eastAsia="zh-CN"/>
        </w:rPr>
        <w:t>施工要求</w:t>
      </w:r>
    </w:p>
    <w:p w14:paraId="1A2C4E14">
      <w:pPr>
        <w:tabs>
          <w:tab w:val="left" w:pos="360"/>
        </w:tabs>
        <w:spacing w:line="360" w:lineRule="auto"/>
        <w:ind w:firstLine="120" w:firstLineChars="50"/>
        <w:rPr>
          <w:sz w:val="24"/>
          <w:szCs w:val="24"/>
        </w:rPr>
      </w:pPr>
      <w:r>
        <w:rPr>
          <w:sz w:val="24"/>
          <w:szCs w:val="24"/>
        </w:rPr>
        <w:t>（一）交通标志</w:t>
      </w:r>
    </w:p>
    <w:p w14:paraId="20AC8114">
      <w:pPr>
        <w:numPr>
          <w:ilvl w:val="0"/>
          <w:numId w:val="15"/>
        </w:numPr>
        <w:ind w:firstLine="480"/>
        <w:rPr>
          <w:rFonts w:hint="eastAsia" w:ascii="宋体" w:hAnsi="宋体" w:eastAsia="宋体" w:cs="宋体"/>
          <w:szCs w:val="22"/>
        </w:rPr>
      </w:pPr>
      <w:r>
        <w:rPr>
          <w:rFonts w:hint="eastAsia" w:ascii="宋体" w:hAnsi="宋体" w:eastAsia="宋体" w:cs="宋体"/>
          <w:szCs w:val="22"/>
        </w:rPr>
        <w:t>柱式标志的标志板下缘距路面高为1000-2500mm；悬臂式及门架标志安装净空为5500mm；</w:t>
      </w:r>
    </w:p>
    <w:p w14:paraId="77A462ED">
      <w:pPr>
        <w:numPr>
          <w:ilvl w:val="0"/>
          <w:numId w:val="15"/>
        </w:numPr>
        <w:ind w:firstLine="480"/>
        <w:rPr>
          <w:rFonts w:hint="eastAsia" w:ascii="宋体" w:hAnsi="宋体" w:eastAsia="宋体" w:cs="宋体"/>
          <w:szCs w:val="22"/>
        </w:rPr>
      </w:pPr>
      <w:r>
        <w:rPr>
          <w:rFonts w:hint="eastAsia" w:ascii="宋体" w:hAnsi="宋体" w:eastAsia="宋体" w:cs="宋体"/>
          <w:szCs w:val="22"/>
        </w:rPr>
        <w:t>路侧柱式标志安装时应与道路中线成一定的角度，指路和警告标志为0-10°，禁令标志为0-45°；</w:t>
      </w:r>
    </w:p>
    <w:p w14:paraId="240F75F5">
      <w:pPr>
        <w:numPr>
          <w:ilvl w:val="0"/>
          <w:numId w:val="15"/>
        </w:numPr>
        <w:ind w:firstLine="480"/>
        <w:rPr>
          <w:rFonts w:hint="eastAsia" w:ascii="宋体" w:hAnsi="宋体" w:eastAsia="宋体" w:cs="宋体"/>
          <w:szCs w:val="22"/>
        </w:rPr>
      </w:pPr>
      <w:r>
        <w:rPr>
          <w:rFonts w:hint="eastAsia" w:ascii="宋体" w:hAnsi="宋体" w:eastAsia="宋体" w:cs="宋体"/>
          <w:szCs w:val="22"/>
        </w:rPr>
        <w:t>在对标志基础进行浇筑和放线时，除严格按设计文件放线定位外，还应考虑到与其它设施的交叉影响，如需调整，应及时上报和通知监理工程师并征得同意，以使放线定位一次成功。同时，预埋件的位置应当精确；</w:t>
      </w:r>
    </w:p>
    <w:p w14:paraId="4F713C7E">
      <w:pPr>
        <w:numPr>
          <w:ilvl w:val="0"/>
          <w:numId w:val="15"/>
        </w:numPr>
        <w:ind w:firstLine="480"/>
        <w:rPr>
          <w:rFonts w:hint="eastAsia" w:ascii="宋体" w:hAnsi="宋体" w:eastAsia="宋体" w:cs="宋体"/>
          <w:szCs w:val="22"/>
        </w:rPr>
      </w:pPr>
      <w:r>
        <w:rPr>
          <w:rFonts w:hint="eastAsia" w:ascii="宋体" w:hAnsi="宋体" w:eastAsia="宋体" w:cs="宋体"/>
          <w:szCs w:val="22"/>
        </w:rPr>
        <w:t>当设计的标志安装形式及位置与实际存在构造物发生冲突时，应根据实际情况并征的监理工程师同意后适当调整标志的安装位置；</w:t>
      </w:r>
    </w:p>
    <w:p w14:paraId="63B30BCB">
      <w:pPr>
        <w:numPr>
          <w:ilvl w:val="0"/>
          <w:numId w:val="15"/>
        </w:numPr>
        <w:ind w:firstLine="480"/>
        <w:rPr>
          <w:rFonts w:hint="eastAsia" w:ascii="宋体" w:hAnsi="宋体" w:eastAsia="宋体" w:cs="宋体"/>
          <w:szCs w:val="22"/>
        </w:rPr>
      </w:pPr>
      <w:r>
        <w:rPr>
          <w:rFonts w:hint="eastAsia" w:ascii="宋体" w:hAnsi="宋体" w:eastAsia="宋体" w:cs="宋体"/>
          <w:szCs w:val="22"/>
        </w:rPr>
        <w:t>标志板的运输、吊装过程应小心，避免对标志板、反光膜产生任何操作损伤，构件镀锌层在运输、安装过程中造成损伤，应及时采取补救措施；</w:t>
      </w:r>
    </w:p>
    <w:p w14:paraId="129DD453">
      <w:pPr>
        <w:numPr>
          <w:ilvl w:val="0"/>
          <w:numId w:val="15"/>
        </w:numPr>
        <w:ind w:firstLine="480"/>
        <w:rPr>
          <w:rFonts w:hint="eastAsia" w:ascii="宋体" w:hAnsi="宋体" w:eastAsia="宋体" w:cs="宋体"/>
          <w:szCs w:val="22"/>
        </w:rPr>
      </w:pPr>
      <w:r>
        <w:rPr>
          <w:rFonts w:hint="eastAsia" w:ascii="宋体" w:hAnsi="宋体" w:eastAsia="宋体" w:cs="宋体"/>
          <w:szCs w:val="22"/>
        </w:rPr>
        <w:t>安装前应仔细将板、基础按设计文件一一对应，避免造成错误。</w:t>
      </w:r>
    </w:p>
    <w:p w14:paraId="5C5AEA80">
      <w:pPr>
        <w:numPr>
          <w:ilvl w:val="0"/>
          <w:numId w:val="15"/>
        </w:numPr>
        <w:ind w:firstLine="480"/>
        <w:rPr>
          <w:rFonts w:hint="eastAsia" w:ascii="宋体" w:hAnsi="宋体" w:eastAsia="宋体" w:cs="宋体"/>
          <w:szCs w:val="22"/>
        </w:rPr>
      </w:pPr>
      <w:r>
        <w:rPr>
          <w:rFonts w:hint="eastAsia" w:ascii="宋体" w:hAnsi="宋体" w:eastAsia="宋体" w:cs="宋体"/>
          <w:szCs w:val="22"/>
        </w:rPr>
        <w:t>标志牌立柱的地脚螺栓及基础法兰盘应埋入地下，不得露出地面。</w:t>
      </w:r>
    </w:p>
    <w:p w14:paraId="5439096E">
      <w:pPr>
        <w:tabs>
          <w:tab w:val="left" w:pos="360"/>
        </w:tabs>
        <w:spacing w:line="360" w:lineRule="auto"/>
        <w:ind w:firstLine="120" w:firstLineChars="50"/>
        <w:rPr>
          <w:sz w:val="24"/>
          <w:szCs w:val="24"/>
        </w:rPr>
      </w:pPr>
      <w:r>
        <w:rPr>
          <w:sz w:val="24"/>
          <w:szCs w:val="24"/>
        </w:rPr>
        <w:t>（二）交通标线</w:t>
      </w:r>
    </w:p>
    <w:p w14:paraId="6BE79C0C">
      <w:pPr>
        <w:numPr>
          <w:ilvl w:val="0"/>
          <w:numId w:val="16"/>
        </w:numPr>
        <w:ind w:firstLine="480"/>
        <w:rPr>
          <w:rFonts w:hint="eastAsia" w:ascii="宋体" w:hAnsi="宋体" w:eastAsia="宋体" w:cs="宋体"/>
          <w:szCs w:val="22"/>
        </w:rPr>
      </w:pPr>
      <w:r>
        <w:rPr>
          <w:rFonts w:hint="eastAsia" w:ascii="宋体" w:hAnsi="宋体" w:eastAsia="宋体" w:cs="宋体"/>
          <w:szCs w:val="22"/>
        </w:rPr>
        <w:t>设置标线的路面应清洁干燥，无松散颗粒、灰尘、沥青、油污或其他有害物质；</w:t>
      </w:r>
    </w:p>
    <w:p w14:paraId="7D8B000F">
      <w:pPr>
        <w:numPr>
          <w:ilvl w:val="0"/>
          <w:numId w:val="16"/>
        </w:numPr>
        <w:ind w:firstLine="480"/>
        <w:rPr>
          <w:rFonts w:hint="eastAsia" w:ascii="宋体" w:hAnsi="宋体" w:eastAsia="宋体" w:cs="宋体"/>
          <w:szCs w:val="22"/>
        </w:rPr>
      </w:pPr>
      <w:r>
        <w:rPr>
          <w:rFonts w:hint="eastAsia" w:ascii="宋体" w:hAnsi="宋体" w:eastAsia="宋体" w:cs="宋体"/>
          <w:szCs w:val="22"/>
        </w:rPr>
        <w:t>交通标线与标记的划法应符合国家和地方有关规定，并做到整齐、清晰、醒目、色泽与漆膜厚度均匀；划漆线条流畅，线形规则；</w:t>
      </w:r>
    </w:p>
    <w:p w14:paraId="149A1FE4">
      <w:pPr>
        <w:numPr>
          <w:ilvl w:val="0"/>
          <w:numId w:val="16"/>
        </w:numPr>
        <w:ind w:firstLine="480"/>
        <w:rPr>
          <w:rFonts w:hint="eastAsia" w:ascii="宋体" w:hAnsi="宋体" w:eastAsia="宋体" w:cs="宋体"/>
          <w:szCs w:val="22"/>
        </w:rPr>
      </w:pPr>
      <w:r>
        <w:rPr>
          <w:rFonts w:hint="eastAsia" w:ascii="宋体" w:hAnsi="宋体" w:eastAsia="宋体" w:cs="宋体"/>
          <w:szCs w:val="22"/>
        </w:rPr>
        <w:t>所有标线应具有顺直、平顺、光洁、均匀及精美外观，湿膜厚度符合图纸要求；</w:t>
      </w:r>
    </w:p>
    <w:p w14:paraId="0A600B40">
      <w:pPr>
        <w:numPr>
          <w:ilvl w:val="0"/>
          <w:numId w:val="16"/>
        </w:numPr>
        <w:ind w:firstLine="480"/>
        <w:rPr>
          <w:rFonts w:hint="eastAsia" w:ascii="宋体" w:hAnsi="宋体" w:eastAsia="宋体" w:cs="宋体"/>
          <w:szCs w:val="22"/>
        </w:rPr>
      </w:pPr>
      <w:r>
        <w:rPr>
          <w:rFonts w:hint="eastAsia" w:ascii="宋体" w:hAnsi="宋体" w:eastAsia="宋体" w:cs="宋体"/>
          <w:szCs w:val="22"/>
        </w:rPr>
        <w:t>涂料在容器内加热时，温度应控制在涂料生产商的使用说明规定值内，不得超过最高限制温度；</w:t>
      </w:r>
    </w:p>
    <w:p w14:paraId="0E5F199D">
      <w:pPr>
        <w:numPr>
          <w:ilvl w:val="0"/>
          <w:numId w:val="16"/>
        </w:numPr>
        <w:ind w:firstLine="480"/>
        <w:rPr>
          <w:rFonts w:hint="eastAsia" w:ascii="宋体" w:hAnsi="宋体" w:eastAsia="宋体" w:cs="宋体"/>
          <w:szCs w:val="22"/>
        </w:rPr>
      </w:pPr>
      <w:r>
        <w:rPr>
          <w:rFonts w:hint="eastAsia" w:ascii="宋体" w:hAnsi="宋体" w:eastAsia="宋体" w:cs="宋体"/>
          <w:szCs w:val="22"/>
        </w:rPr>
        <w:t>喷涂施工应在白天进行，雨天、尘埃大、风大、温度低于10℃时应暂停施工；</w:t>
      </w:r>
    </w:p>
    <w:p w14:paraId="30B11824">
      <w:pPr>
        <w:numPr>
          <w:ilvl w:val="0"/>
          <w:numId w:val="16"/>
        </w:numPr>
        <w:ind w:firstLine="480"/>
        <w:rPr>
          <w:rFonts w:hint="eastAsia" w:ascii="宋体" w:hAnsi="宋体" w:eastAsia="宋体" w:cs="宋体"/>
          <w:szCs w:val="22"/>
        </w:rPr>
      </w:pPr>
      <w:r>
        <w:rPr>
          <w:rFonts w:hint="eastAsia" w:ascii="宋体" w:hAnsi="宋体" w:eastAsia="宋体" w:cs="宋体"/>
          <w:szCs w:val="22"/>
        </w:rPr>
        <w:t>玻璃珠的撒布应经试验并获监理工程师批准方可实施。撒布玻璃珠应在涂料喷涂后立即进行，以0.3Kg/m2的用量加压撒布在所有标线上；</w:t>
      </w:r>
    </w:p>
    <w:p w14:paraId="1FA349F6">
      <w:pPr>
        <w:numPr>
          <w:ilvl w:val="0"/>
          <w:numId w:val="16"/>
        </w:numPr>
        <w:ind w:firstLine="480"/>
        <w:rPr>
          <w:rFonts w:hint="eastAsia" w:ascii="宋体" w:hAnsi="宋体" w:eastAsia="宋体" w:cs="宋体"/>
          <w:szCs w:val="22"/>
        </w:rPr>
      </w:pPr>
      <w:r>
        <w:rPr>
          <w:rFonts w:hint="eastAsia" w:ascii="宋体" w:hAnsi="宋体" w:eastAsia="宋体" w:cs="宋体"/>
          <w:szCs w:val="22"/>
        </w:rPr>
        <w:t>喷涂标线时，应有交通安全措施，设置适当警告标志，阻止车辆及行人在作业区内通行，防止将涂料带出或形成车辙，直至标线充分干燥；</w:t>
      </w:r>
    </w:p>
    <w:p w14:paraId="45A358A4">
      <w:pPr>
        <w:bidi w:val="0"/>
        <w:rPr>
          <w:rFonts w:hint="eastAsia"/>
        </w:rPr>
      </w:pPr>
      <w:r>
        <w:rPr>
          <w:rFonts w:hint="eastAsia"/>
        </w:rPr>
        <w:t>道路标志标线的施工、验收要求应按《道路交通标线质量要求和检测方法》(GB／T16311—2009)及该地区相关验收规程执行；</w:t>
      </w:r>
    </w:p>
    <w:p w14:paraId="51551374">
      <w:pPr>
        <w:tabs>
          <w:tab w:val="left" w:pos="360"/>
        </w:tabs>
        <w:spacing w:line="360" w:lineRule="auto"/>
        <w:rPr>
          <w:sz w:val="24"/>
          <w:szCs w:val="24"/>
        </w:rPr>
      </w:pPr>
      <w:r>
        <w:rPr>
          <w:rFonts w:hint="eastAsia" w:ascii="宋体" w:hAnsi="宋体"/>
          <w:sz w:val="24"/>
          <w:szCs w:val="24"/>
        </w:rPr>
        <w:t xml:space="preserve">  </w:t>
      </w:r>
      <w:r>
        <w:rPr>
          <w:sz w:val="24"/>
          <w:szCs w:val="24"/>
        </w:rPr>
        <w:t>（三）交通信号</w:t>
      </w:r>
    </w:p>
    <w:p w14:paraId="327A06B7">
      <w:pPr>
        <w:numPr>
          <w:ilvl w:val="0"/>
          <w:numId w:val="17"/>
        </w:numPr>
        <w:ind w:firstLine="480"/>
        <w:rPr>
          <w:rFonts w:hint="eastAsia" w:ascii="宋体" w:hAnsi="宋体" w:eastAsia="宋体" w:cs="宋体"/>
          <w:szCs w:val="22"/>
        </w:rPr>
      </w:pPr>
      <w:r>
        <w:rPr>
          <w:rFonts w:hint="eastAsia" w:ascii="宋体" w:hAnsi="宋体" w:eastAsia="宋体" w:cs="宋体"/>
          <w:szCs w:val="22"/>
        </w:rPr>
        <w:t>信号控制机箱安装要求：</w:t>
      </w:r>
    </w:p>
    <w:p w14:paraId="3D2BFA7E">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信号机箱的安装应考虑设置在人行横道或侧分带上，视野宽阔、不妨碍行人及车辆通行、能观察到交叉口的交通状况和信号灯的变化状况、并能容易驳接电源的地点。</w:t>
      </w:r>
    </w:p>
    <w:p w14:paraId="32036997">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信号机箱的基础位置与路缘平行，基础至少高于地面</w:t>
      </w:r>
      <w:r>
        <w:rPr>
          <w:color w:val="000000"/>
          <w:sz w:val="24"/>
          <w:szCs w:val="24"/>
        </w:rPr>
        <w:t>20cm</w:t>
      </w:r>
      <w:r>
        <w:rPr>
          <w:rFonts w:hAnsi="宋体"/>
          <w:color w:val="000000"/>
          <w:sz w:val="24"/>
          <w:szCs w:val="24"/>
        </w:rPr>
        <w:t>，平面尺寸应和信号机箱底座尺寸一致，地面以下的水泥钢筋基础</w:t>
      </w:r>
      <w:r>
        <w:rPr>
          <w:color w:val="000000"/>
          <w:sz w:val="24"/>
          <w:szCs w:val="24"/>
        </w:rPr>
        <w:t xml:space="preserve">65cm </w:t>
      </w:r>
      <w:r>
        <w:rPr>
          <w:rFonts w:hAnsi="宋体"/>
          <w:color w:val="000000"/>
          <w:sz w:val="24"/>
          <w:szCs w:val="24"/>
        </w:rPr>
        <w:t>深。</w:t>
      </w:r>
    </w:p>
    <w:p w14:paraId="4F3C2314">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在有可能积水的地面安装信号机箱时，应适当增加基础高度，防止信号机被积水淹没。</w:t>
      </w:r>
    </w:p>
    <w:p w14:paraId="253B8EC1">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信号机箱安装完毕后，应将机箱底部的接线孔用填充物密封，防止潮气侵蚀。</w:t>
      </w:r>
    </w:p>
    <w:p w14:paraId="345B0F5E">
      <w:pPr>
        <w:numPr>
          <w:ilvl w:val="0"/>
          <w:numId w:val="9"/>
        </w:numPr>
        <w:tabs>
          <w:tab w:val="left" w:pos="1050"/>
        </w:tabs>
        <w:snapToGrid w:val="0"/>
        <w:spacing w:line="360" w:lineRule="auto"/>
        <w:ind w:left="1487" w:leftChars="0" w:hanging="420" w:firstLineChars="0"/>
        <w:rPr>
          <w:rFonts w:hint="eastAsia"/>
          <w:color w:val="000000"/>
          <w:sz w:val="24"/>
          <w:szCs w:val="24"/>
        </w:rPr>
      </w:pPr>
      <w:r>
        <w:rPr>
          <w:rFonts w:hAnsi="宋体"/>
          <w:color w:val="000000"/>
          <w:sz w:val="24"/>
          <w:szCs w:val="24"/>
        </w:rPr>
        <w:t>信号机箱安装时，保护接地线、避雷器接地线的接地施工应符合《电气装置安装工程接地装置施工及验收规范》</w:t>
      </w:r>
      <w:r>
        <w:rPr>
          <w:color w:val="000000"/>
          <w:sz w:val="24"/>
          <w:szCs w:val="24"/>
        </w:rPr>
        <w:t>(GB50169)</w:t>
      </w:r>
      <w:r>
        <w:rPr>
          <w:rFonts w:hAnsi="宋体"/>
          <w:color w:val="000000"/>
          <w:sz w:val="24"/>
          <w:szCs w:val="24"/>
        </w:rPr>
        <w:t>的规定；接地完毕，测量信号机箱接地电阻小于</w:t>
      </w:r>
      <w:r>
        <w:rPr>
          <w:color w:val="000000"/>
          <w:sz w:val="24"/>
          <w:szCs w:val="24"/>
        </w:rPr>
        <w:t>4Ω</w:t>
      </w:r>
      <w:r>
        <w:rPr>
          <w:rFonts w:hAnsi="宋体"/>
          <w:color w:val="000000"/>
          <w:sz w:val="24"/>
          <w:szCs w:val="24"/>
        </w:rPr>
        <w:t>。</w:t>
      </w:r>
    </w:p>
    <w:p w14:paraId="0A01A3DD">
      <w:pPr>
        <w:numPr>
          <w:ilvl w:val="0"/>
          <w:numId w:val="9"/>
        </w:numPr>
        <w:tabs>
          <w:tab w:val="left" w:pos="1050"/>
        </w:tabs>
        <w:snapToGrid w:val="0"/>
        <w:spacing w:line="360" w:lineRule="auto"/>
        <w:ind w:left="1487" w:leftChars="0" w:hanging="420" w:firstLineChars="0"/>
        <w:rPr>
          <w:color w:val="000000"/>
          <w:sz w:val="24"/>
          <w:szCs w:val="24"/>
        </w:rPr>
      </w:pPr>
      <w:r>
        <w:rPr>
          <w:rFonts w:hint="eastAsia" w:hAnsi="宋体"/>
          <w:color w:val="000000"/>
          <w:sz w:val="24"/>
          <w:szCs w:val="24"/>
        </w:rPr>
        <w:t>本项目信控机设计仅为示意，最终由建设单位或主管部门确定其信号控制机的型号、规格、数量等。</w:t>
      </w:r>
    </w:p>
    <w:p w14:paraId="2E886B21">
      <w:pPr>
        <w:numPr>
          <w:ilvl w:val="0"/>
          <w:numId w:val="17"/>
        </w:numPr>
        <w:ind w:firstLine="480"/>
        <w:rPr>
          <w:rFonts w:hint="eastAsia" w:ascii="宋体" w:hAnsi="宋体" w:eastAsia="宋体" w:cs="宋体"/>
          <w:szCs w:val="22"/>
        </w:rPr>
      </w:pPr>
      <w:r>
        <w:rPr>
          <w:rFonts w:hint="eastAsia" w:ascii="宋体" w:hAnsi="宋体" w:eastAsia="宋体" w:cs="宋体"/>
          <w:szCs w:val="22"/>
        </w:rPr>
        <w:t>灯杆制作与安装要求</w:t>
      </w:r>
    </w:p>
    <w:p w14:paraId="3C207AF8">
      <w:pPr>
        <w:numPr>
          <w:ilvl w:val="0"/>
          <w:numId w:val="18"/>
        </w:numPr>
        <w:spacing w:line="360" w:lineRule="auto"/>
        <w:ind w:left="0" w:leftChars="0" w:firstLine="425" w:firstLineChars="0"/>
        <w:rPr>
          <w:rFonts w:hint="eastAsia" w:ascii="宋体" w:hAnsi="宋体"/>
          <w:sz w:val="24"/>
          <w:szCs w:val="24"/>
        </w:rPr>
      </w:pPr>
      <w:r>
        <w:rPr>
          <w:rFonts w:hint="eastAsia" w:ascii="宋体" w:hAnsi="宋体"/>
          <w:sz w:val="24"/>
          <w:szCs w:val="24"/>
        </w:rPr>
        <w:t>灯杆制作</w:t>
      </w:r>
    </w:p>
    <w:p w14:paraId="562E5838">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信号灯杆所属的立柱、法兰盘、地脚螺栓、螺母、垫片、加强筋等金属构件及悬臂、支撑臂、拉杆、抱箍座、夹板等附件的防腐性能应符合</w:t>
      </w:r>
      <w:r>
        <w:rPr>
          <w:color w:val="000000"/>
          <w:sz w:val="24"/>
        </w:rPr>
        <w:t>GB/T18226</w:t>
      </w:r>
      <w:r>
        <w:rPr>
          <w:rFonts w:hAnsi="宋体"/>
          <w:color w:val="000000"/>
          <w:sz w:val="24"/>
        </w:rPr>
        <w:t>《高速公路交通工程钢构件防腐技术条件》的规定。</w:t>
      </w:r>
    </w:p>
    <w:p w14:paraId="75BDE914">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信号灯杆应采用圆形或多棱形经热镀锌处理的钢管制造。</w:t>
      </w:r>
    </w:p>
    <w:p w14:paraId="2E54CB94">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信号灯杆安装前须经过防锈处理，底层喷涂富锌防锈底漆，外层喷涂银灰色瓷漆。</w:t>
      </w:r>
    </w:p>
    <w:p w14:paraId="61E8485A">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悬臂式灯杆拉杆宜使用圆钢制作，一端配有可调距离的螺旋扣，直径和长度根据悬臂长度确定。</w:t>
      </w:r>
    </w:p>
    <w:p w14:paraId="706A8CBD">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信号灯杆杆体底部应焊接固定法兰盘，法兰盘与杆体之间应均匀焊接加强筋。</w:t>
      </w:r>
    </w:p>
    <w:p w14:paraId="742E4035">
      <w:pPr>
        <w:numPr>
          <w:ilvl w:val="0"/>
          <w:numId w:val="18"/>
        </w:numPr>
        <w:spacing w:line="360" w:lineRule="auto"/>
        <w:ind w:left="0" w:leftChars="0" w:firstLine="425" w:firstLineChars="0"/>
        <w:rPr>
          <w:rFonts w:hint="eastAsia" w:ascii="宋体" w:hAnsi="宋体"/>
          <w:sz w:val="24"/>
          <w:szCs w:val="24"/>
        </w:rPr>
      </w:pPr>
      <w:r>
        <w:rPr>
          <w:rFonts w:hint="eastAsia" w:ascii="宋体" w:hAnsi="宋体"/>
          <w:sz w:val="24"/>
          <w:szCs w:val="24"/>
        </w:rPr>
        <w:t>灯杆安装</w:t>
      </w:r>
    </w:p>
    <w:p w14:paraId="46A8FBD3">
      <w:pPr>
        <w:numPr>
          <w:ilvl w:val="0"/>
          <w:numId w:val="9"/>
        </w:numPr>
        <w:tabs>
          <w:tab w:val="left" w:pos="1050"/>
        </w:tabs>
        <w:snapToGrid w:val="0"/>
        <w:spacing w:line="360" w:lineRule="auto"/>
        <w:ind w:left="1487" w:leftChars="0" w:hanging="420" w:firstLineChars="0"/>
        <w:rPr>
          <w:color w:val="000000"/>
          <w:sz w:val="24"/>
          <w:szCs w:val="24"/>
        </w:rPr>
      </w:pPr>
      <w:r>
        <w:rPr>
          <w:color w:val="000000"/>
          <w:sz w:val="24"/>
          <w:szCs w:val="24"/>
        </w:rPr>
        <w:t>信号灯和信号灯杆不得侵入道路通信净空界限范围。</w:t>
      </w:r>
    </w:p>
    <w:p w14:paraId="471EF565">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人行横道信号灯下缘距地面高度为</w:t>
      </w:r>
      <w:r>
        <w:rPr>
          <w:color w:val="000000"/>
          <w:sz w:val="24"/>
          <w:szCs w:val="24"/>
        </w:rPr>
        <w:t>2</w:t>
      </w:r>
      <w:r>
        <w:rPr>
          <w:rFonts w:hAnsi="宋体"/>
          <w:color w:val="000000"/>
          <w:sz w:val="24"/>
          <w:szCs w:val="24"/>
        </w:rPr>
        <w:t>～</w:t>
      </w:r>
      <w:r>
        <w:rPr>
          <w:color w:val="000000"/>
          <w:sz w:val="24"/>
          <w:szCs w:val="24"/>
        </w:rPr>
        <w:t>2.5m</w:t>
      </w:r>
      <w:r>
        <w:rPr>
          <w:rFonts w:hAnsi="宋体"/>
          <w:color w:val="000000"/>
          <w:sz w:val="24"/>
          <w:szCs w:val="24"/>
        </w:rPr>
        <w:t>。</w:t>
      </w:r>
    </w:p>
    <w:p w14:paraId="5239F390">
      <w:pPr>
        <w:numPr>
          <w:ilvl w:val="0"/>
          <w:numId w:val="9"/>
        </w:numPr>
        <w:tabs>
          <w:tab w:val="left" w:pos="1050"/>
        </w:tabs>
        <w:snapToGrid w:val="0"/>
        <w:spacing w:line="360" w:lineRule="auto"/>
        <w:ind w:left="1487" w:leftChars="0" w:hanging="420" w:firstLineChars="0"/>
        <w:rPr>
          <w:color w:val="000000"/>
          <w:sz w:val="24"/>
          <w:szCs w:val="24"/>
        </w:rPr>
      </w:pPr>
      <w:r>
        <w:rPr>
          <w:rFonts w:hAnsi="宋体"/>
          <w:color w:val="000000"/>
          <w:sz w:val="24"/>
          <w:szCs w:val="24"/>
        </w:rPr>
        <w:t>机动车信号灯采用</w:t>
      </w:r>
      <w:r>
        <w:rPr>
          <w:color w:val="000000"/>
          <w:sz w:val="24"/>
          <w:szCs w:val="24"/>
        </w:rPr>
        <w:t>“L”</w:t>
      </w:r>
      <w:r>
        <w:rPr>
          <w:rFonts w:hAnsi="宋体"/>
          <w:color w:val="000000"/>
          <w:sz w:val="24"/>
          <w:szCs w:val="24"/>
        </w:rPr>
        <w:t>型悬臂式安装时臂长不超过最内侧车道中心，最短不小于最外侧机动车道中心。</w:t>
      </w:r>
    </w:p>
    <w:p w14:paraId="2398B090">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悬臂式灯杆支撑臂使用抱箍、抱箍座与灯杆连接固定；拉杆与灯杆、拉杆与悬臂、支撑臂与悬臂可使用夹板连接固定；安装时使用的固定螺栓、螺母、垫圈应使用热镀锌件并用弹簧垫圈压紧。</w:t>
      </w:r>
    </w:p>
    <w:p w14:paraId="38655F03">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紧固标准件全部采用不锈钢材料。</w:t>
      </w:r>
    </w:p>
    <w:p w14:paraId="0FA41991">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信号灯杆安装应保证杆体垂直，倾斜度不得超过</w:t>
      </w:r>
      <w:r>
        <w:rPr>
          <w:color w:val="000000"/>
          <w:sz w:val="24"/>
        </w:rPr>
        <w:t>±0.5%</w:t>
      </w:r>
      <w:r>
        <w:rPr>
          <w:rFonts w:hAnsi="宋体"/>
          <w:color w:val="000000"/>
          <w:sz w:val="24"/>
        </w:rPr>
        <w:t>。</w:t>
      </w:r>
    </w:p>
    <w:p w14:paraId="71BF7DBC">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信号灯杆安装应有足够的强度，能抵抗</w:t>
      </w:r>
      <w:r>
        <w:rPr>
          <w:color w:val="000000"/>
          <w:sz w:val="24"/>
        </w:rPr>
        <w:t xml:space="preserve">12 </w:t>
      </w:r>
      <w:r>
        <w:rPr>
          <w:rFonts w:hAnsi="宋体"/>
          <w:color w:val="000000"/>
          <w:sz w:val="24"/>
        </w:rPr>
        <w:t>级大风或者一般移动物体的撞击。</w:t>
      </w:r>
    </w:p>
    <w:p w14:paraId="3FCB636C">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信号灯杆保护接地电阻应小于</w:t>
      </w:r>
      <w:r>
        <w:rPr>
          <w:color w:val="000000"/>
          <w:sz w:val="24"/>
        </w:rPr>
        <w:t>4Ω</w:t>
      </w:r>
      <w:r>
        <w:rPr>
          <w:rFonts w:hAnsi="宋体"/>
          <w:color w:val="000000"/>
          <w:sz w:val="24"/>
        </w:rPr>
        <w:t>。</w:t>
      </w:r>
    </w:p>
    <w:p w14:paraId="363E07AB">
      <w:pPr>
        <w:numPr>
          <w:ilvl w:val="0"/>
          <w:numId w:val="17"/>
        </w:numPr>
        <w:ind w:firstLine="480"/>
        <w:rPr>
          <w:rFonts w:hint="eastAsia" w:ascii="宋体" w:hAnsi="宋体" w:eastAsia="宋体" w:cs="宋体"/>
          <w:szCs w:val="22"/>
        </w:rPr>
      </w:pPr>
      <w:r>
        <w:rPr>
          <w:rFonts w:hint="eastAsia" w:ascii="宋体" w:hAnsi="宋体" w:eastAsia="宋体" w:cs="宋体"/>
          <w:szCs w:val="22"/>
        </w:rPr>
        <w:t>信号相位排列原则</w:t>
      </w:r>
    </w:p>
    <w:p w14:paraId="73183387">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以路口主要交通流方向的东侧和北侧左转机动车相位开始，按左、直顺序排列；</w:t>
      </w:r>
    </w:p>
    <w:p w14:paraId="75339139">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按逆时针方向逐个排列各个路口到达方向的机动车相位；</w:t>
      </w:r>
    </w:p>
    <w:p w14:paraId="772790C3">
      <w:pPr>
        <w:numPr>
          <w:ilvl w:val="0"/>
          <w:numId w:val="9"/>
        </w:numPr>
        <w:tabs>
          <w:tab w:val="left" w:pos="1050"/>
        </w:tabs>
        <w:snapToGrid w:val="0"/>
        <w:spacing w:line="360" w:lineRule="auto"/>
        <w:ind w:left="1487" w:leftChars="0" w:hanging="420" w:firstLineChars="0"/>
        <w:rPr>
          <w:color w:val="000000"/>
          <w:sz w:val="24"/>
        </w:rPr>
      </w:pPr>
      <w:r>
        <w:rPr>
          <w:rFonts w:hAnsi="宋体"/>
          <w:color w:val="000000"/>
          <w:sz w:val="24"/>
        </w:rPr>
        <w:t>再从该路口机动车相位开始排列的方向开始逆时针顺序排列非机动车、行人相位。</w:t>
      </w:r>
    </w:p>
    <w:p w14:paraId="654E4CBC">
      <w:pPr>
        <w:numPr>
          <w:ilvl w:val="0"/>
          <w:numId w:val="17"/>
        </w:numPr>
        <w:ind w:firstLine="480"/>
        <w:rPr>
          <w:rFonts w:hint="eastAsia" w:ascii="宋体" w:hAnsi="宋体" w:eastAsia="宋体" w:cs="宋体"/>
          <w:szCs w:val="22"/>
        </w:rPr>
      </w:pPr>
      <w:r>
        <w:rPr>
          <w:rFonts w:hint="eastAsia" w:ascii="宋体" w:hAnsi="宋体" w:eastAsia="宋体" w:cs="宋体"/>
          <w:szCs w:val="22"/>
        </w:rPr>
        <w:t>线缆敷设敷设要求</w:t>
      </w:r>
    </w:p>
    <w:p w14:paraId="50C5D1D1">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color w:val="000000"/>
          <w:sz w:val="24"/>
        </w:rPr>
      </w:pPr>
      <w:r>
        <w:rPr>
          <w:rFonts w:hAnsi="宋体"/>
          <w:color w:val="000000"/>
          <w:sz w:val="24"/>
        </w:rPr>
        <w:t>电缆敷设时不允许在管道或交通井内有接头。</w:t>
      </w:r>
    </w:p>
    <w:p w14:paraId="6217FDD0">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color w:val="000000"/>
          <w:sz w:val="24"/>
        </w:rPr>
      </w:pPr>
      <w:r>
        <w:rPr>
          <w:rFonts w:hAnsi="宋体"/>
          <w:color w:val="000000"/>
          <w:sz w:val="24"/>
        </w:rPr>
        <w:t>电缆两端使用相同的号码套管编码以便日后的维修。</w:t>
      </w:r>
    </w:p>
    <w:p w14:paraId="19AF2331">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color w:val="000000"/>
          <w:sz w:val="24"/>
        </w:rPr>
      </w:pPr>
      <w:r>
        <w:rPr>
          <w:rFonts w:hAnsi="宋体"/>
          <w:color w:val="000000"/>
          <w:sz w:val="24"/>
        </w:rPr>
        <w:t>电缆的连接部分要有足够的导体保证信号控制系统的全负载运行。</w:t>
      </w:r>
    </w:p>
    <w:p w14:paraId="53A8BE92">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color w:val="000000"/>
          <w:sz w:val="24"/>
        </w:rPr>
      </w:pPr>
      <w:r>
        <w:rPr>
          <w:rFonts w:hAnsi="宋体"/>
          <w:color w:val="000000"/>
          <w:sz w:val="24"/>
        </w:rPr>
        <w:t>放线后每根电缆线尾端应独立密封，防止雨水渗入线内。</w:t>
      </w:r>
    </w:p>
    <w:p w14:paraId="206E1E13">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sz w:val="24"/>
          <w:szCs w:val="24"/>
        </w:rPr>
      </w:pPr>
      <w:r>
        <w:rPr>
          <w:rFonts w:hAnsi="宋体"/>
          <w:color w:val="000000"/>
          <w:sz w:val="24"/>
        </w:rPr>
        <w:t>引向信号灯杆的每根电缆应在最靠近立柱的拉线井内留有余量，人行灯灯杆应预留</w:t>
      </w:r>
      <w:r>
        <w:rPr>
          <w:color w:val="000000"/>
          <w:sz w:val="24"/>
        </w:rPr>
        <w:t>2m</w:t>
      </w:r>
      <w:r>
        <w:rPr>
          <w:rFonts w:hAnsi="宋体"/>
          <w:color w:val="000000"/>
          <w:sz w:val="24"/>
        </w:rPr>
        <w:t>，机动车灯杆应预留</w:t>
      </w:r>
      <w:r>
        <w:rPr>
          <w:color w:val="000000"/>
          <w:sz w:val="24"/>
        </w:rPr>
        <w:t>3m</w:t>
      </w:r>
      <w:r>
        <w:rPr>
          <w:rFonts w:hAnsi="宋体"/>
          <w:color w:val="000000"/>
          <w:sz w:val="24"/>
        </w:rPr>
        <w:t>，悬臂式灯杆应预留</w:t>
      </w:r>
      <w:r>
        <w:rPr>
          <w:color w:val="000000"/>
          <w:sz w:val="24"/>
        </w:rPr>
        <w:t>3m</w:t>
      </w:r>
      <w:r>
        <w:rPr>
          <w:rFonts w:hAnsi="宋体"/>
          <w:color w:val="000000"/>
          <w:sz w:val="24"/>
        </w:rPr>
        <w:t>。</w:t>
      </w:r>
    </w:p>
    <w:p w14:paraId="334CF61A">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rFonts w:hint="eastAsia"/>
          <w:sz w:val="24"/>
          <w:szCs w:val="24"/>
        </w:rPr>
      </w:pPr>
      <w:r>
        <w:rPr>
          <w:rFonts w:hAnsi="宋体"/>
          <w:color w:val="000000"/>
          <w:sz w:val="24"/>
        </w:rPr>
        <w:t>引向信号机的每根电缆应在信号机基础旁的接线井内留有</w:t>
      </w:r>
      <w:r>
        <w:rPr>
          <w:color w:val="000000"/>
          <w:sz w:val="24"/>
        </w:rPr>
        <w:t xml:space="preserve">3m </w:t>
      </w:r>
      <w:r>
        <w:rPr>
          <w:rFonts w:hAnsi="宋体"/>
          <w:color w:val="000000"/>
          <w:sz w:val="24"/>
        </w:rPr>
        <w:t>余量。</w:t>
      </w:r>
    </w:p>
    <w:p w14:paraId="2EC6FE6E">
      <w:pPr>
        <w:keepNext w:val="0"/>
        <w:keepLines w:val="0"/>
        <w:pageBreakBefore w:val="0"/>
        <w:widowControl w:val="0"/>
        <w:numPr>
          <w:ilvl w:val="0"/>
          <w:numId w:val="9"/>
        </w:numPr>
        <w:tabs>
          <w:tab w:val="left" w:pos="1050"/>
        </w:tabs>
        <w:kinsoku/>
        <w:wordWrap/>
        <w:overflowPunct/>
        <w:topLinePunct w:val="0"/>
        <w:autoSpaceDE/>
        <w:autoSpaceDN/>
        <w:bidi w:val="0"/>
        <w:adjustRightInd/>
        <w:snapToGrid w:val="0"/>
        <w:spacing w:line="360" w:lineRule="auto"/>
        <w:ind w:left="1485" w:leftChars="0" w:hanging="420" w:firstLineChars="0"/>
        <w:textAlignment w:val="auto"/>
        <w:rPr>
          <w:sz w:val="24"/>
          <w:szCs w:val="24"/>
        </w:rPr>
      </w:pPr>
      <w:r>
        <w:rPr>
          <w:rFonts w:hint="eastAsia" w:hAnsi="宋体"/>
          <w:color w:val="000000"/>
          <w:sz w:val="24"/>
        </w:rPr>
        <w:t>本项目涉及到的电缆规格仅为示意，最终由建设单位或主管部门最终确定为准。</w:t>
      </w:r>
    </w:p>
    <w:p w14:paraId="4C20E1C2">
      <w:pPr>
        <w:tabs>
          <w:tab w:val="left" w:pos="360"/>
        </w:tabs>
        <w:spacing w:line="360" w:lineRule="auto"/>
        <w:rPr>
          <w:sz w:val="24"/>
          <w:szCs w:val="24"/>
        </w:rPr>
      </w:pPr>
      <w:r>
        <w:rPr>
          <w:sz w:val="24"/>
          <w:szCs w:val="24"/>
        </w:rPr>
        <w:t>（四）注意事项</w:t>
      </w:r>
    </w:p>
    <w:p w14:paraId="69855541">
      <w:pPr>
        <w:numPr>
          <w:ilvl w:val="0"/>
          <w:numId w:val="19"/>
        </w:numPr>
        <w:ind w:firstLine="480"/>
        <w:rPr>
          <w:rFonts w:hint="eastAsia" w:ascii="宋体" w:hAnsi="宋体" w:eastAsia="宋体" w:cs="宋体"/>
          <w:szCs w:val="22"/>
        </w:rPr>
      </w:pPr>
      <w:r>
        <w:rPr>
          <w:rFonts w:hint="eastAsia" w:ascii="宋体" w:hAnsi="宋体" w:eastAsia="宋体" w:cs="宋体"/>
          <w:szCs w:val="22"/>
        </w:rPr>
        <w:t>所有交通设施的安装均应在交警部门的指导及监督下进行。</w:t>
      </w:r>
    </w:p>
    <w:p w14:paraId="69E35CEA">
      <w:pPr>
        <w:numPr>
          <w:ilvl w:val="0"/>
          <w:numId w:val="19"/>
        </w:numPr>
        <w:ind w:firstLine="480"/>
        <w:rPr>
          <w:rFonts w:hint="eastAsia" w:ascii="宋体" w:hAnsi="宋体" w:eastAsia="宋体" w:cs="宋体"/>
          <w:szCs w:val="22"/>
        </w:rPr>
      </w:pPr>
      <w:r>
        <w:rPr>
          <w:rFonts w:hint="eastAsia" w:ascii="宋体" w:hAnsi="宋体" w:eastAsia="宋体" w:cs="宋体"/>
          <w:szCs w:val="22"/>
        </w:rPr>
        <w:t>标志的位置选择应选择在视野开阔地段，保证标志版面的易见性，不允许有任何其他设备遮挡标志版。</w:t>
      </w:r>
    </w:p>
    <w:p w14:paraId="3DAD057B">
      <w:pPr>
        <w:numPr>
          <w:ilvl w:val="0"/>
          <w:numId w:val="19"/>
        </w:numPr>
        <w:ind w:firstLine="480"/>
        <w:rPr>
          <w:rFonts w:hint="eastAsia" w:ascii="宋体" w:hAnsi="宋体" w:eastAsia="宋体" w:cs="宋体"/>
          <w:szCs w:val="22"/>
        </w:rPr>
      </w:pPr>
      <w:r>
        <w:rPr>
          <w:rFonts w:hint="eastAsia" w:ascii="宋体" w:hAnsi="宋体" w:eastAsia="宋体" w:cs="宋体"/>
          <w:szCs w:val="22"/>
        </w:rPr>
        <w:t>本项目涉及到的信号控制机、电缆最终由建设单位或主管部门确定其型号、规格、数量，施工单位在未得到明确答复前，严禁施工该部分工程量。</w:t>
      </w:r>
    </w:p>
    <w:p w14:paraId="7AAF7122">
      <w:pPr>
        <w:pStyle w:val="2"/>
        <w:bidi w:val="0"/>
        <w:ind w:left="432" w:leftChars="0" w:hanging="432" w:firstLineChars="0"/>
        <w:rPr>
          <w:rFonts w:hint="eastAsia"/>
          <w:lang w:val="en-US" w:eastAsia="zh-CN"/>
        </w:rPr>
      </w:pPr>
      <w:r>
        <w:rPr>
          <w:rFonts w:hint="eastAsia"/>
          <w:lang w:val="en-US" w:eastAsia="zh-CN"/>
        </w:rPr>
        <w:t>存在的问题及建议</w:t>
      </w:r>
    </w:p>
    <w:p w14:paraId="2D0DE71A">
      <w:pPr>
        <w:spacing w:line="360" w:lineRule="auto"/>
        <w:ind w:firstLine="482" w:firstLineChars="200"/>
        <w:outlineLvl w:val="0"/>
        <w:rPr>
          <w:rFonts w:hint="eastAsia"/>
          <w:highlight w:val="yellow"/>
          <w:lang w:val="en-US" w:eastAsia="zh-CN"/>
        </w:rPr>
      </w:pPr>
      <w:r>
        <w:rPr>
          <w:rFonts w:hint="eastAsia"/>
          <w:b/>
          <w:sz w:val="24"/>
          <w:szCs w:val="24"/>
        </w:rPr>
        <w:t>交通工程实施前，应与交通主管部门沟通，待相关单位同意后，方可进行施工。</w:t>
      </w:r>
      <w:r>
        <w:rPr>
          <w:b/>
          <w:sz w:val="24"/>
          <w:szCs w:val="24"/>
        </w:rPr>
        <w:t>其它未尽事宜，请严格按照有关《国标》、《规范》执行。</w:t>
      </w:r>
    </w:p>
    <w:p w14:paraId="085BF743">
      <w:pPr>
        <w:ind w:left="0" w:leftChars="0" w:firstLine="0" w:firstLineChars="0"/>
        <w:rPr>
          <w:rFonts w:hint="eastAsia"/>
        </w:rPr>
      </w:pPr>
    </w:p>
    <w:sectPr>
      <w:type w:val="continuous"/>
      <w:pgSz w:w="23820" w:h="16834" w:orient="landscape"/>
      <w:pgMar w:top="850" w:right="1134" w:bottom="1020" w:left="1701" w:header="850" w:footer="850" w:gutter="567"/>
      <w:cols w:space="1320" w:num="2"/>
      <w:docGrid w:type="lines" w:linePitch="30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B3C85">
    <w:pPr>
      <w:pStyle w:val="16"/>
      <w:pBdr>
        <w:top w:val="thickThinSmallGap" w:color="auto" w:sz="18" w:space="1"/>
        <w:left w:val="none" w:color="auto" w:sz="0" w:space="4"/>
        <w:bottom w:val="none" w:color="auto" w:sz="0" w:space="1"/>
        <w:right w:val="none" w:color="auto" w:sz="0" w:space="4"/>
      </w:pBdr>
      <w:spacing w:line="240" w:lineRule="auto"/>
      <w:ind w:firstLine="0" w:firstLineChars="0"/>
    </w:pPr>
    <w:r>
      <w:rPr>
        <w:sz w:val="32"/>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08634D">
                          <w:pPr>
                            <w:pStyle w:val="16"/>
                            <w:spacing w:line="360" w:lineRule="auto"/>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13</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4508634D">
                    <w:pPr>
                      <w:pStyle w:val="16"/>
                      <w:spacing w:line="360" w:lineRule="auto"/>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13</w:t>
                    </w:r>
                    <w:r>
                      <w:rPr>
                        <w:rFonts w:hint="eastAsia"/>
                      </w:rPr>
                      <w:fldChar w:fldCharType="end"/>
                    </w:r>
                    <w:r>
                      <w:rPr>
                        <w:rFonts w:hint="eastAsia"/>
                      </w:rPr>
                      <w:t xml:space="preserve"> 页</w:t>
                    </w:r>
                  </w:p>
                </w:txbxContent>
              </v:textbox>
            </v:shape>
          </w:pict>
        </mc:Fallback>
      </mc:AlternateContent>
    </w:r>
    <w:r>
      <w:rPr>
        <w:rFonts w:hint="eastAsia" w:ascii="宋体" w:hAnsi="宋体"/>
        <w:sz w:val="32"/>
        <w:szCs w:val="32"/>
        <w:lang w:val="en-US"/>
      </w:rPr>
      <w:t xml:space="preserve"> </w:t>
    </w:r>
    <w:r>
      <w:rPr>
        <w:rFonts w:hint="eastAsia" w:ascii="宋体" w:hAnsi="宋体"/>
        <w:lang w:val="en-US"/>
      </w:rPr>
      <w:t xml:space="preserve">                                                    </w:t>
    </w:r>
    <w:r>
      <w:rPr>
        <w:rFonts w:hint="eastAsia" w:ascii="宋体" w:hAnsi="宋体"/>
      </w:rPr>
      <w:t xml:space="preserve">                                                 </w:t>
    </w:r>
    <w:r>
      <w:rPr>
        <w:rFonts w:hint="eastAsia" w:ascii="宋体" w:hAnsi="宋体"/>
        <w:lang w:val="en-US"/>
      </w:rPr>
      <w:t xml:space="preserve"> </w:t>
    </w:r>
    <w:r>
      <w:rPr>
        <w:rFonts w:hint="eastAsia" w:ascii="宋体" w:hAnsi="宋体"/>
      </w:rPr>
      <w:t xml:space="preserve">   </w:t>
    </w:r>
    <w:r>
      <w:rPr>
        <w:rFonts w:hint="eastAsia" w:ascii="宋体" w:hAnsi="宋体"/>
        <w:lang w:val="en-US"/>
      </w:rPr>
      <w:t xml:space="preserve">  </w:t>
    </w:r>
    <w:r>
      <w:rPr>
        <w:rFonts w:hint="eastAsia" w:ascii="宋体" w:hAnsi="宋体"/>
      </w:rPr>
      <w:t xml:space="preserve">  </w:t>
    </w:r>
    <w:r>
      <w:rPr>
        <w:rFonts w:hint="eastAsia" w:ascii="宋体" w:hAnsi="宋体"/>
        <w:lang w:val="en-US"/>
      </w:rPr>
      <w:t xml:space="preserve">                                                                                                      </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w:t>
    </w:r>
    <w:r>
      <w:rPr>
        <w:rFonts w:hint="eastAsia"/>
      </w:rPr>
      <w:t>202</w:t>
    </w:r>
    <w:r>
      <w:rPr>
        <w:rFonts w:hint="eastAsia"/>
        <w:lang w:val="en-US" w:eastAsia="zh-CN"/>
      </w:rPr>
      <w:t>3</w:t>
    </w:r>
    <w:r>
      <w:rPr>
        <w:rFonts w:hint="eastAsia"/>
        <w:lang w:val="en-US"/>
      </w:rPr>
      <w:t>.</w:t>
    </w:r>
    <w:r>
      <w:rPr>
        <w:rFonts w:hint="eastAsia"/>
        <w:lang w:val="en-US" w:eastAsia="zh-CN"/>
      </w:rPr>
      <w:t>12</w:t>
    </w:r>
    <w:r>
      <w:rPr>
        <w:rFonts w:hint="eastAsia"/>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86D45">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B6143">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20A03">
    <w:pPr>
      <w:pStyle w:val="17"/>
      <w:pBdr>
        <w:top w:val="none" w:color="auto" w:sz="0" w:space="1"/>
        <w:left w:val="none" w:color="auto" w:sz="0" w:space="4"/>
        <w:bottom w:val="thinThickSmallGap" w:color="auto" w:sz="18" w:space="1"/>
        <w:right w:val="none" w:color="auto" w:sz="0" w:space="4"/>
      </w:pBdr>
      <w:rPr>
        <w:rFonts w:hint="eastAsia" w:ascii="宋体" w:hAnsi="宋体" w:eastAsia="宋体" w:cs="宋体"/>
        <w:szCs w:val="21"/>
        <w:lang w:eastAsia="zh-CN"/>
      </w:rPr>
    </w:pPr>
    <w:r>
      <w:rPr>
        <w:rFonts w:hint="eastAsia" w:ascii="宋体" w:hAnsi="宋体" w:eastAsia="宋体" w:cs="宋体"/>
        <w:szCs w:val="21"/>
      </w:rPr>
      <w:t>凉山高新技术产业园区配套道路项目─王家路</w:t>
    </w:r>
    <w:r>
      <w:rPr>
        <w:rFonts w:hint="eastAsia" w:ascii="宋体" w:hAnsi="宋体" w:cs="宋体"/>
        <w:szCs w:val="21"/>
        <w:lang w:val="en-US" w:eastAsia="zh-CN"/>
      </w:rPr>
      <w:t xml:space="preserve">      </w:t>
    </w:r>
    <w:r>
      <w:rPr>
        <w:rFonts w:hint="eastAsia" w:ascii="宋体" w:hAnsi="宋体" w:eastAsia="宋体" w:cs="宋体"/>
        <w:color w:val="000000"/>
        <w:szCs w:val="21"/>
      </w:rPr>
      <w:t xml:space="preserve">                                                                                                                                               </w:t>
    </w:r>
    <w:r>
      <w:rPr>
        <w:rFonts w:hint="eastAsia" w:ascii="宋体" w:hAnsi="宋体" w:cs="宋体"/>
        <w:color w:val="000000"/>
        <w:szCs w:val="21"/>
        <w:lang w:val="en-US" w:eastAsia="zh-CN"/>
      </w:rPr>
      <w:t xml:space="preserve"> </w:t>
    </w:r>
    <w:r>
      <w:rPr>
        <w:rFonts w:hint="eastAsia" w:ascii="宋体" w:hAnsi="宋体" w:eastAsia="宋体" w:cs="宋体"/>
        <w:color w:val="000000"/>
        <w:szCs w:val="21"/>
      </w:rPr>
      <w:t xml:space="preserve">    </w:t>
    </w:r>
    <w:r>
      <w:rPr>
        <w:rFonts w:hint="eastAsia" w:ascii="宋体" w:hAnsi="宋体" w:cs="宋体"/>
        <w:color w:val="000000"/>
        <w:szCs w:val="21"/>
        <w:lang w:val="en-US" w:eastAsia="zh-CN"/>
      </w:rPr>
      <w:t>JA</w:t>
    </w:r>
    <w:r>
      <w:rPr>
        <w:rFonts w:hint="eastAsia" w:ascii="宋体" w:hAnsi="宋体" w:eastAsia="宋体" w:cs="宋体"/>
        <w:color w:val="000000"/>
        <w:szCs w:val="21"/>
      </w:rPr>
      <w:t>-0</w:t>
    </w:r>
    <w:r>
      <w:rPr>
        <w:rFonts w:hint="eastAsia" w:ascii="宋体" w:hAnsi="宋体" w:cs="宋体"/>
        <w:color w:val="000000"/>
        <w:szCs w:val="21"/>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2B30B">
    <w:pPr>
      <w:pStyle w:val="17"/>
      <w:ind w:firstLine="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ACC50">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0A48F"/>
    <w:multiLevelType w:val="singleLevel"/>
    <w:tmpl w:val="8940A48F"/>
    <w:lvl w:ilvl="0" w:tentative="0">
      <w:start w:val="1"/>
      <w:numFmt w:val="decimalEnclosedCircleChinese"/>
      <w:suff w:val="space"/>
      <w:lvlText w:val="%1"/>
      <w:lvlJc w:val="left"/>
      <w:pPr>
        <w:ind w:left="0" w:firstLine="454"/>
      </w:pPr>
      <w:rPr>
        <w:rFonts w:hint="eastAsia" w:ascii="宋体" w:hAnsi="宋体" w:eastAsia="宋体" w:cs="宋体"/>
      </w:rPr>
    </w:lvl>
  </w:abstractNum>
  <w:abstractNum w:abstractNumId="1">
    <w:nsid w:val="9E9CD218"/>
    <w:multiLevelType w:val="multilevel"/>
    <w:tmpl w:val="9E9CD218"/>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438A721"/>
    <w:multiLevelType w:val="multilevel"/>
    <w:tmpl w:val="A438A721"/>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BB0B60F0"/>
    <w:multiLevelType w:val="multilevel"/>
    <w:tmpl w:val="BB0B60F0"/>
    <w:lvl w:ilvl="0" w:tentative="0">
      <w:start w:val="1"/>
      <w:numFmt w:val="bullet"/>
      <w:suff w:val="space"/>
      <w:lvlText w:val=""/>
      <w:lvlJc w:val="left"/>
      <w:pPr>
        <w:ind w:left="1487" w:hanging="420"/>
      </w:pPr>
      <w:rPr>
        <w:rFonts w:hint="default" w:ascii="Wingdings" w:hAnsi="Wingdings"/>
      </w:rPr>
    </w:lvl>
    <w:lvl w:ilvl="1" w:tentative="0">
      <w:start w:val="1"/>
      <w:numFmt w:val="lowerLetter"/>
      <w:lvlText w:val="%2)"/>
      <w:lvlJc w:val="left"/>
      <w:pPr>
        <w:tabs>
          <w:tab w:val="left" w:pos="1708"/>
        </w:tabs>
        <w:ind w:left="1708" w:hanging="420"/>
      </w:pPr>
    </w:lvl>
    <w:lvl w:ilvl="2" w:tentative="0">
      <w:start w:val="1"/>
      <w:numFmt w:val="lowerRoman"/>
      <w:lvlText w:val="%3."/>
      <w:lvlJc w:val="right"/>
      <w:pPr>
        <w:tabs>
          <w:tab w:val="left" w:pos="2128"/>
        </w:tabs>
        <w:ind w:left="2128" w:hanging="420"/>
      </w:pPr>
    </w:lvl>
    <w:lvl w:ilvl="3" w:tentative="0">
      <w:start w:val="1"/>
      <w:numFmt w:val="decimal"/>
      <w:lvlText w:val="%4."/>
      <w:lvlJc w:val="left"/>
      <w:pPr>
        <w:tabs>
          <w:tab w:val="left" w:pos="2548"/>
        </w:tabs>
        <w:ind w:left="2548" w:hanging="420"/>
      </w:pPr>
    </w:lvl>
    <w:lvl w:ilvl="4" w:tentative="0">
      <w:start w:val="1"/>
      <w:numFmt w:val="lowerLetter"/>
      <w:lvlText w:val="%5)"/>
      <w:lvlJc w:val="left"/>
      <w:pPr>
        <w:tabs>
          <w:tab w:val="left" w:pos="2968"/>
        </w:tabs>
        <w:ind w:left="2968" w:hanging="420"/>
      </w:pPr>
    </w:lvl>
    <w:lvl w:ilvl="5" w:tentative="0">
      <w:start w:val="1"/>
      <w:numFmt w:val="lowerRoman"/>
      <w:lvlText w:val="%6."/>
      <w:lvlJc w:val="right"/>
      <w:pPr>
        <w:tabs>
          <w:tab w:val="left" w:pos="3388"/>
        </w:tabs>
        <w:ind w:left="3388" w:hanging="420"/>
      </w:pPr>
    </w:lvl>
    <w:lvl w:ilvl="6" w:tentative="0">
      <w:start w:val="1"/>
      <w:numFmt w:val="decimal"/>
      <w:lvlText w:val="%7."/>
      <w:lvlJc w:val="left"/>
      <w:pPr>
        <w:tabs>
          <w:tab w:val="left" w:pos="3808"/>
        </w:tabs>
        <w:ind w:left="3808" w:hanging="420"/>
      </w:pPr>
    </w:lvl>
    <w:lvl w:ilvl="7" w:tentative="0">
      <w:start w:val="1"/>
      <w:numFmt w:val="lowerLetter"/>
      <w:lvlText w:val="%8)"/>
      <w:lvlJc w:val="left"/>
      <w:pPr>
        <w:tabs>
          <w:tab w:val="left" w:pos="4228"/>
        </w:tabs>
        <w:ind w:left="4228" w:hanging="420"/>
      </w:pPr>
    </w:lvl>
    <w:lvl w:ilvl="8" w:tentative="0">
      <w:start w:val="1"/>
      <w:numFmt w:val="lowerRoman"/>
      <w:lvlText w:val="%9."/>
      <w:lvlJc w:val="right"/>
      <w:pPr>
        <w:tabs>
          <w:tab w:val="left" w:pos="4648"/>
        </w:tabs>
        <w:ind w:left="4648" w:hanging="420"/>
      </w:pPr>
    </w:lvl>
  </w:abstractNum>
  <w:abstractNum w:abstractNumId="4">
    <w:nsid w:val="04020F2B"/>
    <w:multiLevelType w:val="singleLevel"/>
    <w:tmpl w:val="04020F2B"/>
    <w:lvl w:ilvl="0" w:tentative="0">
      <w:start w:val="1"/>
      <w:numFmt w:val="decimal"/>
      <w:lvlText w:val="%1）"/>
      <w:lvlJc w:val="left"/>
      <w:pPr>
        <w:tabs>
          <w:tab w:val="left" w:pos="425"/>
        </w:tabs>
        <w:ind w:left="0" w:leftChars="0" w:firstLine="425" w:firstLineChars="0"/>
      </w:pPr>
      <w:rPr>
        <w:rFonts w:hint="default"/>
      </w:rPr>
    </w:lvl>
  </w:abstractNum>
  <w:abstractNum w:abstractNumId="5">
    <w:nsid w:val="05592616"/>
    <w:multiLevelType w:val="multilevel"/>
    <w:tmpl w:val="05592616"/>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41B1D94"/>
    <w:multiLevelType w:val="multilevel"/>
    <w:tmpl w:val="141B1D94"/>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15A24B4"/>
    <w:multiLevelType w:val="multilevel"/>
    <w:tmpl w:val="215A24B4"/>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8">
    <w:nsid w:val="244E2127"/>
    <w:multiLevelType w:val="multilevel"/>
    <w:tmpl w:val="244E2127"/>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48C8B04"/>
    <w:multiLevelType w:val="multilevel"/>
    <w:tmpl w:val="248C8B04"/>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383DE62"/>
    <w:multiLevelType w:val="multilevel"/>
    <w:tmpl w:val="4383DE62"/>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45B4A91"/>
    <w:multiLevelType w:val="singleLevel"/>
    <w:tmpl w:val="445B4A91"/>
    <w:lvl w:ilvl="0" w:tentative="0">
      <w:start w:val="1"/>
      <w:numFmt w:val="decimal"/>
      <w:lvlText w:val="%1）"/>
      <w:lvlJc w:val="left"/>
      <w:pPr>
        <w:tabs>
          <w:tab w:val="left" w:pos="425"/>
        </w:tabs>
        <w:ind w:left="0" w:leftChars="0" w:firstLine="425" w:firstLineChars="0"/>
      </w:pPr>
      <w:rPr>
        <w:rFonts w:hint="default"/>
      </w:rPr>
    </w:lvl>
  </w:abstractNum>
  <w:abstractNum w:abstractNumId="12">
    <w:nsid w:val="5063AEAB"/>
    <w:multiLevelType w:val="multilevel"/>
    <w:tmpl w:val="5063AEAB"/>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95945E7"/>
    <w:multiLevelType w:val="multilevel"/>
    <w:tmpl w:val="595945E7"/>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4">
    <w:nsid w:val="5E4AF1DD"/>
    <w:multiLevelType w:val="singleLevel"/>
    <w:tmpl w:val="5E4AF1DD"/>
    <w:lvl w:ilvl="0" w:tentative="0">
      <w:start w:val="1"/>
      <w:numFmt w:val="decimalEnclosedCircleChinese"/>
      <w:suff w:val="space"/>
      <w:lvlText w:val="%1"/>
      <w:lvlJc w:val="left"/>
      <w:pPr>
        <w:ind w:left="0" w:firstLine="454"/>
      </w:pPr>
      <w:rPr>
        <w:rFonts w:hint="eastAsia" w:ascii="宋体" w:hAnsi="宋体" w:eastAsia="宋体" w:cs="宋体"/>
      </w:rPr>
    </w:lvl>
  </w:abstractNum>
  <w:abstractNum w:abstractNumId="15">
    <w:nsid w:val="665AF149"/>
    <w:multiLevelType w:val="multilevel"/>
    <w:tmpl w:val="665AF149"/>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9EE871F"/>
    <w:multiLevelType w:val="multilevel"/>
    <w:tmpl w:val="69EE871F"/>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E575176"/>
    <w:multiLevelType w:val="multilevel"/>
    <w:tmpl w:val="6E575176"/>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589D0F6"/>
    <w:multiLevelType w:val="multilevel"/>
    <w:tmpl w:val="7589D0F6"/>
    <w:lvl w:ilvl="0" w:tentative="0">
      <w:start w:val="1"/>
      <w:numFmt w:val="decimal"/>
      <w:suff w:val="nothing"/>
      <w:lvlText w:val="（%1）"/>
      <w:lvlJc w:val="left"/>
      <w:pPr>
        <w:ind w:left="0" w:firstLine="283"/>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3"/>
  </w:num>
  <w:num w:numId="2">
    <w:abstractNumId w:val="0"/>
  </w:num>
  <w:num w:numId="3">
    <w:abstractNumId w:val="6"/>
  </w:num>
  <w:num w:numId="4">
    <w:abstractNumId w:val="16"/>
  </w:num>
  <w:num w:numId="5">
    <w:abstractNumId w:val="17"/>
  </w:num>
  <w:num w:numId="6">
    <w:abstractNumId w:val="14"/>
  </w:num>
  <w:num w:numId="7">
    <w:abstractNumId w:val="1"/>
  </w:num>
  <w:num w:numId="8">
    <w:abstractNumId w:val="9"/>
  </w:num>
  <w:num w:numId="9">
    <w:abstractNumId w:val="3"/>
  </w:num>
  <w:num w:numId="10">
    <w:abstractNumId w:val="18"/>
  </w:num>
  <w:num w:numId="11">
    <w:abstractNumId w:val="7"/>
  </w:num>
  <w:num w:numId="12">
    <w:abstractNumId w:val="12"/>
  </w:num>
  <w:num w:numId="13">
    <w:abstractNumId w:val="5"/>
  </w:num>
  <w:num w:numId="14">
    <w:abstractNumId w:val="11"/>
  </w:num>
  <w:num w:numId="15">
    <w:abstractNumId w:val="10"/>
  </w:num>
  <w:num w:numId="16">
    <w:abstractNumId w:val="2"/>
  </w:num>
  <w:num w:numId="17">
    <w:abstractNumId w:val="8"/>
  </w:num>
  <w:num w:numId="18">
    <w:abstractNumId w:val="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printPostScriptOverText/>
  <w:bordersDoNotSurroundHeader w:val="1"/>
  <w:bordersDoNotSurroundFooter w:val="1"/>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20"/>
  <w:drawingGridVerticalSpacing w:val="165"/>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999"/>
    <w:rsid w:val="00002065"/>
    <w:rsid w:val="0000269B"/>
    <w:rsid w:val="00002BF1"/>
    <w:rsid w:val="00011F7C"/>
    <w:rsid w:val="000151F3"/>
    <w:rsid w:val="00015A1C"/>
    <w:rsid w:val="0001656C"/>
    <w:rsid w:val="00017CC6"/>
    <w:rsid w:val="00020072"/>
    <w:rsid w:val="000213E2"/>
    <w:rsid w:val="00022E70"/>
    <w:rsid w:val="00023407"/>
    <w:rsid w:val="0002387B"/>
    <w:rsid w:val="00024213"/>
    <w:rsid w:val="000251D0"/>
    <w:rsid w:val="0002669A"/>
    <w:rsid w:val="0003336E"/>
    <w:rsid w:val="00033CD5"/>
    <w:rsid w:val="00034BB7"/>
    <w:rsid w:val="00036797"/>
    <w:rsid w:val="00041B46"/>
    <w:rsid w:val="00042A72"/>
    <w:rsid w:val="000431A9"/>
    <w:rsid w:val="000442FE"/>
    <w:rsid w:val="00044569"/>
    <w:rsid w:val="00046AA6"/>
    <w:rsid w:val="000552B7"/>
    <w:rsid w:val="00061663"/>
    <w:rsid w:val="000619FD"/>
    <w:rsid w:val="000633BE"/>
    <w:rsid w:val="0006344E"/>
    <w:rsid w:val="00066F9B"/>
    <w:rsid w:val="00067612"/>
    <w:rsid w:val="00067F0B"/>
    <w:rsid w:val="000721AC"/>
    <w:rsid w:val="00073494"/>
    <w:rsid w:val="000737D3"/>
    <w:rsid w:val="000748B6"/>
    <w:rsid w:val="00074D0B"/>
    <w:rsid w:val="00075258"/>
    <w:rsid w:val="00075493"/>
    <w:rsid w:val="0007609B"/>
    <w:rsid w:val="00076394"/>
    <w:rsid w:val="00076CB1"/>
    <w:rsid w:val="00076CC0"/>
    <w:rsid w:val="0007749D"/>
    <w:rsid w:val="00081DCF"/>
    <w:rsid w:val="00082B75"/>
    <w:rsid w:val="0008328A"/>
    <w:rsid w:val="0008342F"/>
    <w:rsid w:val="00083BB5"/>
    <w:rsid w:val="000842CA"/>
    <w:rsid w:val="00084AC6"/>
    <w:rsid w:val="00085EB6"/>
    <w:rsid w:val="00091C14"/>
    <w:rsid w:val="00094642"/>
    <w:rsid w:val="00096879"/>
    <w:rsid w:val="000A1349"/>
    <w:rsid w:val="000A1AFF"/>
    <w:rsid w:val="000A48F2"/>
    <w:rsid w:val="000A4FF9"/>
    <w:rsid w:val="000A64CC"/>
    <w:rsid w:val="000A6D39"/>
    <w:rsid w:val="000A72B3"/>
    <w:rsid w:val="000A77A0"/>
    <w:rsid w:val="000A7DEC"/>
    <w:rsid w:val="000B2BA3"/>
    <w:rsid w:val="000B38B4"/>
    <w:rsid w:val="000B4645"/>
    <w:rsid w:val="000B7471"/>
    <w:rsid w:val="000B77C0"/>
    <w:rsid w:val="000C2E70"/>
    <w:rsid w:val="000C308F"/>
    <w:rsid w:val="000C3D51"/>
    <w:rsid w:val="000C57CD"/>
    <w:rsid w:val="000C67C9"/>
    <w:rsid w:val="000C722E"/>
    <w:rsid w:val="000C7D86"/>
    <w:rsid w:val="000D0B33"/>
    <w:rsid w:val="000D0FA3"/>
    <w:rsid w:val="000D23DF"/>
    <w:rsid w:val="000D4EDD"/>
    <w:rsid w:val="000D5CC6"/>
    <w:rsid w:val="000D6789"/>
    <w:rsid w:val="000E0BCD"/>
    <w:rsid w:val="000E0C89"/>
    <w:rsid w:val="000E4DD6"/>
    <w:rsid w:val="000E5569"/>
    <w:rsid w:val="000F0B97"/>
    <w:rsid w:val="000F15E3"/>
    <w:rsid w:val="000F1735"/>
    <w:rsid w:val="000F262C"/>
    <w:rsid w:val="000F3146"/>
    <w:rsid w:val="000F3DA1"/>
    <w:rsid w:val="000F3DF9"/>
    <w:rsid w:val="000F4A3E"/>
    <w:rsid w:val="000F659E"/>
    <w:rsid w:val="00102C53"/>
    <w:rsid w:val="001050E7"/>
    <w:rsid w:val="00105DAA"/>
    <w:rsid w:val="00106BAF"/>
    <w:rsid w:val="00107000"/>
    <w:rsid w:val="00107B2F"/>
    <w:rsid w:val="00107F9B"/>
    <w:rsid w:val="00110D17"/>
    <w:rsid w:val="00110FDC"/>
    <w:rsid w:val="00111FA5"/>
    <w:rsid w:val="001129A9"/>
    <w:rsid w:val="001133A8"/>
    <w:rsid w:val="001134F4"/>
    <w:rsid w:val="00114578"/>
    <w:rsid w:val="001155CF"/>
    <w:rsid w:val="001176F7"/>
    <w:rsid w:val="0012124A"/>
    <w:rsid w:val="00124BFD"/>
    <w:rsid w:val="00125783"/>
    <w:rsid w:val="00125CC0"/>
    <w:rsid w:val="00126617"/>
    <w:rsid w:val="00126DC4"/>
    <w:rsid w:val="00132DA3"/>
    <w:rsid w:val="001332A8"/>
    <w:rsid w:val="001448C2"/>
    <w:rsid w:val="00144BD5"/>
    <w:rsid w:val="00146EBC"/>
    <w:rsid w:val="0014708E"/>
    <w:rsid w:val="001531B9"/>
    <w:rsid w:val="00153406"/>
    <w:rsid w:val="00153C12"/>
    <w:rsid w:val="00154821"/>
    <w:rsid w:val="00155EBC"/>
    <w:rsid w:val="00157328"/>
    <w:rsid w:val="00163BB0"/>
    <w:rsid w:val="00164225"/>
    <w:rsid w:val="00164311"/>
    <w:rsid w:val="0016540C"/>
    <w:rsid w:val="001656E1"/>
    <w:rsid w:val="0016584A"/>
    <w:rsid w:val="00166F82"/>
    <w:rsid w:val="00170358"/>
    <w:rsid w:val="00172A27"/>
    <w:rsid w:val="00176F35"/>
    <w:rsid w:val="0017750B"/>
    <w:rsid w:val="00180081"/>
    <w:rsid w:val="00180E74"/>
    <w:rsid w:val="00181836"/>
    <w:rsid w:val="00184848"/>
    <w:rsid w:val="001860A1"/>
    <w:rsid w:val="0018685F"/>
    <w:rsid w:val="00190D24"/>
    <w:rsid w:val="00194033"/>
    <w:rsid w:val="00194268"/>
    <w:rsid w:val="001942E5"/>
    <w:rsid w:val="00196149"/>
    <w:rsid w:val="00196266"/>
    <w:rsid w:val="00196567"/>
    <w:rsid w:val="00196E6A"/>
    <w:rsid w:val="001976FB"/>
    <w:rsid w:val="001A1C81"/>
    <w:rsid w:val="001A4932"/>
    <w:rsid w:val="001A59BE"/>
    <w:rsid w:val="001A7E72"/>
    <w:rsid w:val="001B0498"/>
    <w:rsid w:val="001B09EB"/>
    <w:rsid w:val="001B637C"/>
    <w:rsid w:val="001B67BF"/>
    <w:rsid w:val="001C0E7C"/>
    <w:rsid w:val="001C11D1"/>
    <w:rsid w:val="001C4C78"/>
    <w:rsid w:val="001D02F1"/>
    <w:rsid w:val="001D091F"/>
    <w:rsid w:val="001D0B39"/>
    <w:rsid w:val="001D3771"/>
    <w:rsid w:val="001D5584"/>
    <w:rsid w:val="001D7896"/>
    <w:rsid w:val="001E4897"/>
    <w:rsid w:val="001E5AC5"/>
    <w:rsid w:val="001E677D"/>
    <w:rsid w:val="001E6F24"/>
    <w:rsid w:val="001E7690"/>
    <w:rsid w:val="001F2B3F"/>
    <w:rsid w:val="001F2D69"/>
    <w:rsid w:val="001F3E8E"/>
    <w:rsid w:val="002009EC"/>
    <w:rsid w:val="00200A1B"/>
    <w:rsid w:val="00202071"/>
    <w:rsid w:val="00203732"/>
    <w:rsid w:val="0020427B"/>
    <w:rsid w:val="00205AEB"/>
    <w:rsid w:val="00206301"/>
    <w:rsid w:val="00206302"/>
    <w:rsid w:val="00211B2C"/>
    <w:rsid w:val="00212B15"/>
    <w:rsid w:val="00212E0D"/>
    <w:rsid w:val="00213705"/>
    <w:rsid w:val="002155FE"/>
    <w:rsid w:val="00217B51"/>
    <w:rsid w:val="002211D5"/>
    <w:rsid w:val="00223AE3"/>
    <w:rsid w:val="0022459D"/>
    <w:rsid w:val="00225399"/>
    <w:rsid w:val="00225D20"/>
    <w:rsid w:val="0022732A"/>
    <w:rsid w:val="002279E6"/>
    <w:rsid w:val="00227C3A"/>
    <w:rsid w:val="00227E88"/>
    <w:rsid w:val="002307B9"/>
    <w:rsid w:val="002405BA"/>
    <w:rsid w:val="002407C9"/>
    <w:rsid w:val="0024153C"/>
    <w:rsid w:val="0024195A"/>
    <w:rsid w:val="00241F55"/>
    <w:rsid w:val="00243336"/>
    <w:rsid w:val="002433C3"/>
    <w:rsid w:val="00243CBC"/>
    <w:rsid w:val="002443DE"/>
    <w:rsid w:val="00244809"/>
    <w:rsid w:val="0025012E"/>
    <w:rsid w:val="002504F5"/>
    <w:rsid w:val="002520C6"/>
    <w:rsid w:val="002529D0"/>
    <w:rsid w:val="0025320E"/>
    <w:rsid w:val="00253E89"/>
    <w:rsid w:val="002543B7"/>
    <w:rsid w:val="0025448A"/>
    <w:rsid w:val="0025550D"/>
    <w:rsid w:val="002561ED"/>
    <w:rsid w:val="002568A3"/>
    <w:rsid w:val="00260983"/>
    <w:rsid w:val="002624C8"/>
    <w:rsid w:val="00262DF2"/>
    <w:rsid w:val="00263775"/>
    <w:rsid w:val="00265408"/>
    <w:rsid w:val="00265750"/>
    <w:rsid w:val="00266755"/>
    <w:rsid w:val="00266A1E"/>
    <w:rsid w:val="00270C4C"/>
    <w:rsid w:val="00273353"/>
    <w:rsid w:val="00273A9D"/>
    <w:rsid w:val="0027503A"/>
    <w:rsid w:val="002756F3"/>
    <w:rsid w:val="00276DB1"/>
    <w:rsid w:val="00281F1D"/>
    <w:rsid w:val="00287DE7"/>
    <w:rsid w:val="00291220"/>
    <w:rsid w:val="00291716"/>
    <w:rsid w:val="00291E1C"/>
    <w:rsid w:val="0029449C"/>
    <w:rsid w:val="002952C9"/>
    <w:rsid w:val="002958EB"/>
    <w:rsid w:val="00295BB9"/>
    <w:rsid w:val="0029705B"/>
    <w:rsid w:val="002A06CB"/>
    <w:rsid w:val="002A45AB"/>
    <w:rsid w:val="002B03C0"/>
    <w:rsid w:val="002B1197"/>
    <w:rsid w:val="002B2285"/>
    <w:rsid w:val="002B228E"/>
    <w:rsid w:val="002B2A35"/>
    <w:rsid w:val="002B2BB4"/>
    <w:rsid w:val="002B5D71"/>
    <w:rsid w:val="002B6C09"/>
    <w:rsid w:val="002B73D5"/>
    <w:rsid w:val="002C1F51"/>
    <w:rsid w:val="002C2E58"/>
    <w:rsid w:val="002C4ACD"/>
    <w:rsid w:val="002D03B1"/>
    <w:rsid w:val="002D1013"/>
    <w:rsid w:val="002D188A"/>
    <w:rsid w:val="002D1B8B"/>
    <w:rsid w:val="002D4365"/>
    <w:rsid w:val="002D46ED"/>
    <w:rsid w:val="002D5322"/>
    <w:rsid w:val="002D55DD"/>
    <w:rsid w:val="002D6D14"/>
    <w:rsid w:val="002D793C"/>
    <w:rsid w:val="002E0AF2"/>
    <w:rsid w:val="002E20ED"/>
    <w:rsid w:val="002E2DDB"/>
    <w:rsid w:val="002E2F6D"/>
    <w:rsid w:val="002E31B7"/>
    <w:rsid w:val="002E37E7"/>
    <w:rsid w:val="002E5D4B"/>
    <w:rsid w:val="002E6C80"/>
    <w:rsid w:val="002E75E9"/>
    <w:rsid w:val="002F171E"/>
    <w:rsid w:val="002F2B24"/>
    <w:rsid w:val="002F4FCD"/>
    <w:rsid w:val="002F5E81"/>
    <w:rsid w:val="002F631C"/>
    <w:rsid w:val="002F67AE"/>
    <w:rsid w:val="002F7F34"/>
    <w:rsid w:val="00300BF1"/>
    <w:rsid w:val="0030195D"/>
    <w:rsid w:val="003019F9"/>
    <w:rsid w:val="00303192"/>
    <w:rsid w:val="00303529"/>
    <w:rsid w:val="00303ADC"/>
    <w:rsid w:val="00303C4C"/>
    <w:rsid w:val="00304159"/>
    <w:rsid w:val="00304714"/>
    <w:rsid w:val="00305C6E"/>
    <w:rsid w:val="00306062"/>
    <w:rsid w:val="00306360"/>
    <w:rsid w:val="00306BF0"/>
    <w:rsid w:val="00307151"/>
    <w:rsid w:val="003138F8"/>
    <w:rsid w:val="00315404"/>
    <w:rsid w:val="00316F04"/>
    <w:rsid w:val="00317B32"/>
    <w:rsid w:val="003232BC"/>
    <w:rsid w:val="00323801"/>
    <w:rsid w:val="00323CBB"/>
    <w:rsid w:val="00324880"/>
    <w:rsid w:val="00326BDA"/>
    <w:rsid w:val="003279D8"/>
    <w:rsid w:val="00327CEA"/>
    <w:rsid w:val="003306BA"/>
    <w:rsid w:val="0033156B"/>
    <w:rsid w:val="00333A0F"/>
    <w:rsid w:val="00334867"/>
    <w:rsid w:val="003362BC"/>
    <w:rsid w:val="0034031E"/>
    <w:rsid w:val="00340463"/>
    <w:rsid w:val="00341283"/>
    <w:rsid w:val="0034185B"/>
    <w:rsid w:val="00344640"/>
    <w:rsid w:val="0034484E"/>
    <w:rsid w:val="0034655C"/>
    <w:rsid w:val="003469CD"/>
    <w:rsid w:val="00347ACE"/>
    <w:rsid w:val="00347B27"/>
    <w:rsid w:val="00350DFF"/>
    <w:rsid w:val="00350E61"/>
    <w:rsid w:val="003514E0"/>
    <w:rsid w:val="00351C35"/>
    <w:rsid w:val="00351DE1"/>
    <w:rsid w:val="00351ED9"/>
    <w:rsid w:val="0035295A"/>
    <w:rsid w:val="00354642"/>
    <w:rsid w:val="00355B61"/>
    <w:rsid w:val="00356153"/>
    <w:rsid w:val="00356CAF"/>
    <w:rsid w:val="0036280E"/>
    <w:rsid w:val="00364639"/>
    <w:rsid w:val="00372BAF"/>
    <w:rsid w:val="00372BB9"/>
    <w:rsid w:val="003730B0"/>
    <w:rsid w:val="003745FC"/>
    <w:rsid w:val="00374ADA"/>
    <w:rsid w:val="003753F9"/>
    <w:rsid w:val="00375D6E"/>
    <w:rsid w:val="003764D2"/>
    <w:rsid w:val="00376EED"/>
    <w:rsid w:val="00377AED"/>
    <w:rsid w:val="00383ACA"/>
    <w:rsid w:val="00384D31"/>
    <w:rsid w:val="00387159"/>
    <w:rsid w:val="003877C8"/>
    <w:rsid w:val="00387D10"/>
    <w:rsid w:val="00387FD0"/>
    <w:rsid w:val="00393BF4"/>
    <w:rsid w:val="003975CC"/>
    <w:rsid w:val="00397A29"/>
    <w:rsid w:val="003A3F46"/>
    <w:rsid w:val="003A480E"/>
    <w:rsid w:val="003A60C2"/>
    <w:rsid w:val="003A64F0"/>
    <w:rsid w:val="003A6995"/>
    <w:rsid w:val="003A6CD3"/>
    <w:rsid w:val="003A78FF"/>
    <w:rsid w:val="003B3CD9"/>
    <w:rsid w:val="003B3F90"/>
    <w:rsid w:val="003B4328"/>
    <w:rsid w:val="003B455E"/>
    <w:rsid w:val="003B5293"/>
    <w:rsid w:val="003B5E18"/>
    <w:rsid w:val="003C10BF"/>
    <w:rsid w:val="003C4E1C"/>
    <w:rsid w:val="003C58D9"/>
    <w:rsid w:val="003C69CB"/>
    <w:rsid w:val="003C7135"/>
    <w:rsid w:val="003D0ECB"/>
    <w:rsid w:val="003D2681"/>
    <w:rsid w:val="003D632C"/>
    <w:rsid w:val="003E08FC"/>
    <w:rsid w:val="003E1BD8"/>
    <w:rsid w:val="003E1C1C"/>
    <w:rsid w:val="003E1CA1"/>
    <w:rsid w:val="003E4775"/>
    <w:rsid w:val="003E4B78"/>
    <w:rsid w:val="003E524E"/>
    <w:rsid w:val="003E59FC"/>
    <w:rsid w:val="003E5A1B"/>
    <w:rsid w:val="003E7F34"/>
    <w:rsid w:val="003F293B"/>
    <w:rsid w:val="003F3D8F"/>
    <w:rsid w:val="003F58A4"/>
    <w:rsid w:val="00400FFF"/>
    <w:rsid w:val="004011FC"/>
    <w:rsid w:val="00403159"/>
    <w:rsid w:val="00404FAC"/>
    <w:rsid w:val="00407137"/>
    <w:rsid w:val="00407A6C"/>
    <w:rsid w:val="00407C5D"/>
    <w:rsid w:val="00407C7C"/>
    <w:rsid w:val="00411369"/>
    <w:rsid w:val="00411668"/>
    <w:rsid w:val="00412830"/>
    <w:rsid w:val="0041355E"/>
    <w:rsid w:val="00413845"/>
    <w:rsid w:val="00413DAD"/>
    <w:rsid w:val="0041449F"/>
    <w:rsid w:val="004204F2"/>
    <w:rsid w:val="004229BD"/>
    <w:rsid w:val="00424BE4"/>
    <w:rsid w:val="00424D16"/>
    <w:rsid w:val="00425A97"/>
    <w:rsid w:val="0042694D"/>
    <w:rsid w:val="00430D25"/>
    <w:rsid w:val="00431289"/>
    <w:rsid w:val="00431901"/>
    <w:rsid w:val="0044176F"/>
    <w:rsid w:val="00441BAD"/>
    <w:rsid w:val="004437AC"/>
    <w:rsid w:val="00444E73"/>
    <w:rsid w:val="00444EB6"/>
    <w:rsid w:val="0044572F"/>
    <w:rsid w:val="00445EA6"/>
    <w:rsid w:val="00446F2E"/>
    <w:rsid w:val="004505A4"/>
    <w:rsid w:val="00450B90"/>
    <w:rsid w:val="004536C7"/>
    <w:rsid w:val="00454819"/>
    <w:rsid w:val="00454C38"/>
    <w:rsid w:val="00455E1F"/>
    <w:rsid w:val="00456C8E"/>
    <w:rsid w:val="00456FAC"/>
    <w:rsid w:val="00457B5C"/>
    <w:rsid w:val="00460C49"/>
    <w:rsid w:val="00460CFA"/>
    <w:rsid w:val="0046398D"/>
    <w:rsid w:val="00463A2A"/>
    <w:rsid w:val="00464647"/>
    <w:rsid w:val="004656F8"/>
    <w:rsid w:val="00465DDA"/>
    <w:rsid w:val="00466837"/>
    <w:rsid w:val="004700D4"/>
    <w:rsid w:val="00471763"/>
    <w:rsid w:val="00471974"/>
    <w:rsid w:val="00471BB5"/>
    <w:rsid w:val="004721E8"/>
    <w:rsid w:val="00473894"/>
    <w:rsid w:val="0047436B"/>
    <w:rsid w:val="00474453"/>
    <w:rsid w:val="00475F52"/>
    <w:rsid w:val="004765FD"/>
    <w:rsid w:val="004772ED"/>
    <w:rsid w:val="0047769A"/>
    <w:rsid w:val="00477979"/>
    <w:rsid w:val="00477BE5"/>
    <w:rsid w:val="00480A66"/>
    <w:rsid w:val="00483685"/>
    <w:rsid w:val="00484786"/>
    <w:rsid w:val="0048501F"/>
    <w:rsid w:val="00485F61"/>
    <w:rsid w:val="004872B9"/>
    <w:rsid w:val="0049128B"/>
    <w:rsid w:val="00491925"/>
    <w:rsid w:val="0049258F"/>
    <w:rsid w:val="00492F77"/>
    <w:rsid w:val="00493647"/>
    <w:rsid w:val="0049398C"/>
    <w:rsid w:val="00494908"/>
    <w:rsid w:val="0049538C"/>
    <w:rsid w:val="004976CD"/>
    <w:rsid w:val="004A276E"/>
    <w:rsid w:val="004A2B3B"/>
    <w:rsid w:val="004A2D3A"/>
    <w:rsid w:val="004A57C2"/>
    <w:rsid w:val="004A696A"/>
    <w:rsid w:val="004B0BB3"/>
    <w:rsid w:val="004B25EE"/>
    <w:rsid w:val="004B3B8B"/>
    <w:rsid w:val="004B4769"/>
    <w:rsid w:val="004B5812"/>
    <w:rsid w:val="004B6350"/>
    <w:rsid w:val="004B694D"/>
    <w:rsid w:val="004C15AB"/>
    <w:rsid w:val="004C6659"/>
    <w:rsid w:val="004D0393"/>
    <w:rsid w:val="004D1A9D"/>
    <w:rsid w:val="004D23CA"/>
    <w:rsid w:val="004D4836"/>
    <w:rsid w:val="004D4A47"/>
    <w:rsid w:val="004D609B"/>
    <w:rsid w:val="004D668C"/>
    <w:rsid w:val="004D684B"/>
    <w:rsid w:val="004E01A8"/>
    <w:rsid w:val="004E238A"/>
    <w:rsid w:val="004E3811"/>
    <w:rsid w:val="004E4B62"/>
    <w:rsid w:val="004E73F5"/>
    <w:rsid w:val="004F1A6B"/>
    <w:rsid w:val="004F1D16"/>
    <w:rsid w:val="004F4C44"/>
    <w:rsid w:val="004F6365"/>
    <w:rsid w:val="004F6EF4"/>
    <w:rsid w:val="004F7283"/>
    <w:rsid w:val="00501327"/>
    <w:rsid w:val="00501D9C"/>
    <w:rsid w:val="00503E10"/>
    <w:rsid w:val="0050482E"/>
    <w:rsid w:val="0050652B"/>
    <w:rsid w:val="00507D08"/>
    <w:rsid w:val="00507EF0"/>
    <w:rsid w:val="00511DD6"/>
    <w:rsid w:val="00515C7B"/>
    <w:rsid w:val="00522356"/>
    <w:rsid w:val="00522A7F"/>
    <w:rsid w:val="00527132"/>
    <w:rsid w:val="00530A66"/>
    <w:rsid w:val="00530AFC"/>
    <w:rsid w:val="005339F2"/>
    <w:rsid w:val="0053449F"/>
    <w:rsid w:val="00535D0A"/>
    <w:rsid w:val="005366A7"/>
    <w:rsid w:val="00536D11"/>
    <w:rsid w:val="005419F0"/>
    <w:rsid w:val="005421ED"/>
    <w:rsid w:val="00545367"/>
    <w:rsid w:val="005464F6"/>
    <w:rsid w:val="00546941"/>
    <w:rsid w:val="00547E88"/>
    <w:rsid w:val="00550957"/>
    <w:rsid w:val="00550BF9"/>
    <w:rsid w:val="0055476B"/>
    <w:rsid w:val="00554988"/>
    <w:rsid w:val="005549AD"/>
    <w:rsid w:val="005550AC"/>
    <w:rsid w:val="00555894"/>
    <w:rsid w:val="00556049"/>
    <w:rsid w:val="0056153A"/>
    <w:rsid w:val="00563C69"/>
    <w:rsid w:val="005650E9"/>
    <w:rsid w:val="00567C74"/>
    <w:rsid w:val="00571B4F"/>
    <w:rsid w:val="00576318"/>
    <w:rsid w:val="00577881"/>
    <w:rsid w:val="005816E9"/>
    <w:rsid w:val="00582608"/>
    <w:rsid w:val="00583939"/>
    <w:rsid w:val="00583E79"/>
    <w:rsid w:val="005864E1"/>
    <w:rsid w:val="00592AE1"/>
    <w:rsid w:val="0059476C"/>
    <w:rsid w:val="00596108"/>
    <w:rsid w:val="005965DD"/>
    <w:rsid w:val="00596708"/>
    <w:rsid w:val="005A0A67"/>
    <w:rsid w:val="005A0F11"/>
    <w:rsid w:val="005A1213"/>
    <w:rsid w:val="005A1ACF"/>
    <w:rsid w:val="005A31F0"/>
    <w:rsid w:val="005A67C5"/>
    <w:rsid w:val="005A7B23"/>
    <w:rsid w:val="005B1ED4"/>
    <w:rsid w:val="005B2D03"/>
    <w:rsid w:val="005B5F0C"/>
    <w:rsid w:val="005C022A"/>
    <w:rsid w:val="005C0DC2"/>
    <w:rsid w:val="005C2768"/>
    <w:rsid w:val="005C3D44"/>
    <w:rsid w:val="005C6A4F"/>
    <w:rsid w:val="005D05FB"/>
    <w:rsid w:val="005D0D49"/>
    <w:rsid w:val="005D1012"/>
    <w:rsid w:val="005D13B9"/>
    <w:rsid w:val="005D18CF"/>
    <w:rsid w:val="005D38C9"/>
    <w:rsid w:val="005D464D"/>
    <w:rsid w:val="005E1CF1"/>
    <w:rsid w:val="005E4ABD"/>
    <w:rsid w:val="005E5AE1"/>
    <w:rsid w:val="005F0CB6"/>
    <w:rsid w:val="005F2CB5"/>
    <w:rsid w:val="005F3EC7"/>
    <w:rsid w:val="005F46FC"/>
    <w:rsid w:val="005F633E"/>
    <w:rsid w:val="005F6A3C"/>
    <w:rsid w:val="005F6DC0"/>
    <w:rsid w:val="005F6E08"/>
    <w:rsid w:val="006053AA"/>
    <w:rsid w:val="00605F20"/>
    <w:rsid w:val="00606D57"/>
    <w:rsid w:val="00610567"/>
    <w:rsid w:val="00610674"/>
    <w:rsid w:val="00611808"/>
    <w:rsid w:val="00613E7B"/>
    <w:rsid w:val="00616DC2"/>
    <w:rsid w:val="006228E2"/>
    <w:rsid w:val="00625011"/>
    <w:rsid w:val="006257B3"/>
    <w:rsid w:val="0062600A"/>
    <w:rsid w:val="00626769"/>
    <w:rsid w:val="0062726B"/>
    <w:rsid w:val="006275D1"/>
    <w:rsid w:val="00627724"/>
    <w:rsid w:val="006360AD"/>
    <w:rsid w:val="00636897"/>
    <w:rsid w:val="006408A4"/>
    <w:rsid w:val="00641808"/>
    <w:rsid w:val="00647444"/>
    <w:rsid w:val="00647A38"/>
    <w:rsid w:val="00647CA8"/>
    <w:rsid w:val="00651F6F"/>
    <w:rsid w:val="00653DE8"/>
    <w:rsid w:val="00656A31"/>
    <w:rsid w:val="0066027F"/>
    <w:rsid w:val="0066056C"/>
    <w:rsid w:val="0066244D"/>
    <w:rsid w:val="00664166"/>
    <w:rsid w:val="00664DA1"/>
    <w:rsid w:val="00666CD5"/>
    <w:rsid w:val="00666EB4"/>
    <w:rsid w:val="00667600"/>
    <w:rsid w:val="00671394"/>
    <w:rsid w:val="006713F2"/>
    <w:rsid w:val="00672169"/>
    <w:rsid w:val="00672C98"/>
    <w:rsid w:val="0067597C"/>
    <w:rsid w:val="00676EF8"/>
    <w:rsid w:val="0067791F"/>
    <w:rsid w:val="006803A9"/>
    <w:rsid w:val="006828EE"/>
    <w:rsid w:val="00682C40"/>
    <w:rsid w:val="00683BB4"/>
    <w:rsid w:val="006841CD"/>
    <w:rsid w:val="006843CE"/>
    <w:rsid w:val="006845A6"/>
    <w:rsid w:val="00686630"/>
    <w:rsid w:val="0069414C"/>
    <w:rsid w:val="006958BA"/>
    <w:rsid w:val="00696E17"/>
    <w:rsid w:val="006A1517"/>
    <w:rsid w:val="006A27DA"/>
    <w:rsid w:val="006A2BEF"/>
    <w:rsid w:val="006A2EC0"/>
    <w:rsid w:val="006A348A"/>
    <w:rsid w:val="006A4AD0"/>
    <w:rsid w:val="006A51AC"/>
    <w:rsid w:val="006A5485"/>
    <w:rsid w:val="006A65B6"/>
    <w:rsid w:val="006A7554"/>
    <w:rsid w:val="006B09BB"/>
    <w:rsid w:val="006B0FFC"/>
    <w:rsid w:val="006B1B86"/>
    <w:rsid w:val="006B1F18"/>
    <w:rsid w:val="006B2697"/>
    <w:rsid w:val="006B453A"/>
    <w:rsid w:val="006B5533"/>
    <w:rsid w:val="006B5CEE"/>
    <w:rsid w:val="006B78A8"/>
    <w:rsid w:val="006C4489"/>
    <w:rsid w:val="006C4900"/>
    <w:rsid w:val="006C4959"/>
    <w:rsid w:val="006C69CF"/>
    <w:rsid w:val="006D203B"/>
    <w:rsid w:val="006D2613"/>
    <w:rsid w:val="006D4440"/>
    <w:rsid w:val="006D4D85"/>
    <w:rsid w:val="006D5921"/>
    <w:rsid w:val="006D64C2"/>
    <w:rsid w:val="006D7570"/>
    <w:rsid w:val="006D7579"/>
    <w:rsid w:val="006D7A6D"/>
    <w:rsid w:val="006E2522"/>
    <w:rsid w:val="006E256C"/>
    <w:rsid w:val="006E3F57"/>
    <w:rsid w:val="006E730E"/>
    <w:rsid w:val="006E7E31"/>
    <w:rsid w:val="006F0650"/>
    <w:rsid w:val="006F147D"/>
    <w:rsid w:val="006F2CD1"/>
    <w:rsid w:val="006F3B66"/>
    <w:rsid w:val="00700C3F"/>
    <w:rsid w:val="007019F9"/>
    <w:rsid w:val="007025A2"/>
    <w:rsid w:val="00703A50"/>
    <w:rsid w:val="00705893"/>
    <w:rsid w:val="00706428"/>
    <w:rsid w:val="007100DA"/>
    <w:rsid w:val="007131F2"/>
    <w:rsid w:val="00715350"/>
    <w:rsid w:val="00715B84"/>
    <w:rsid w:val="007169C1"/>
    <w:rsid w:val="007173E8"/>
    <w:rsid w:val="007209B6"/>
    <w:rsid w:val="00720B4A"/>
    <w:rsid w:val="00721E97"/>
    <w:rsid w:val="007225E7"/>
    <w:rsid w:val="00722E8E"/>
    <w:rsid w:val="00722EAE"/>
    <w:rsid w:val="00724783"/>
    <w:rsid w:val="007256CE"/>
    <w:rsid w:val="00726211"/>
    <w:rsid w:val="0072745D"/>
    <w:rsid w:val="00730717"/>
    <w:rsid w:val="0073142C"/>
    <w:rsid w:val="00732AD3"/>
    <w:rsid w:val="00733452"/>
    <w:rsid w:val="00733C32"/>
    <w:rsid w:val="007343D2"/>
    <w:rsid w:val="0073655A"/>
    <w:rsid w:val="00740AFC"/>
    <w:rsid w:val="00741160"/>
    <w:rsid w:val="00742F09"/>
    <w:rsid w:val="00743FB8"/>
    <w:rsid w:val="00744695"/>
    <w:rsid w:val="00744C81"/>
    <w:rsid w:val="00745176"/>
    <w:rsid w:val="00746216"/>
    <w:rsid w:val="00747C1C"/>
    <w:rsid w:val="007537E1"/>
    <w:rsid w:val="007549C2"/>
    <w:rsid w:val="007565E6"/>
    <w:rsid w:val="00756AF8"/>
    <w:rsid w:val="00761E8F"/>
    <w:rsid w:val="00762DE7"/>
    <w:rsid w:val="007633F1"/>
    <w:rsid w:val="00765471"/>
    <w:rsid w:val="00765BBB"/>
    <w:rsid w:val="00767C5B"/>
    <w:rsid w:val="00770531"/>
    <w:rsid w:val="00772662"/>
    <w:rsid w:val="00772A2B"/>
    <w:rsid w:val="00772BDB"/>
    <w:rsid w:val="00773771"/>
    <w:rsid w:val="00773FF1"/>
    <w:rsid w:val="007752DC"/>
    <w:rsid w:val="00775404"/>
    <w:rsid w:val="00775491"/>
    <w:rsid w:val="007757AC"/>
    <w:rsid w:val="00775E80"/>
    <w:rsid w:val="00775F63"/>
    <w:rsid w:val="00777918"/>
    <w:rsid w:val="0078003B"/>
    <w:rsid w:val="00780232"/>
    <w:rsid w:val="00781405"/>
    <w:rsid w:val="00781B01"/>
    <w:rsid w:val="00781C9D"/>
    <w:rsid w:val="00783A34"/>
    <w:rsid w:val="00783F2C"/>
    <w:rsid w:val="00786B76"/>
    <w:rsid w:val="007908AE"/>
    <w:rsid w:val="0079104A"/>
    <w:rsid w:val="007926E9"/>
    <w:rsid w:val="007942F8"/>
    <w:rsid w:val="007949B1"/>
    <w:rsid w:val="00794AE0"/>
    <w:rsid w:val="0079509A"/>
    <w:rsid w:val="00795A4C"/>
    <w:rsid w:val="00796513"/>
    <w:rsid w:val="00796EDC"/>
    <w:rsid w:val="0079709E"/>
    <w:rsid w:val="007976DF"/>
    <w:rsid w:val="00797999"/>
    <w:rsid w:val="007A0024"/>
    <w:rsid w:val="007A1E47"/>
    <w:rsid w:val="007A47F0"/>
    <w:rsid w:val="007A4E3A"/>
    <w:rsid w:val="007A7980"/>
    <w:rsid w:val="007B088F"/>
    <w:rsid w:val="007B15CC"/>
    <w:rsid w:val="007B1811"/>
    <w:rsid w:val="007B27A6"/>
    <w:rsid w:val="007B31D5"/>
    <w:rsid w:val="007B3DE6"/>
    <w:rsid w:val="007B4C19"/>
    <w:rsid w:val="007B4C5C"/>
    <w:rsid w:val="007B7533"/>
    <w:rsid w:val="007B7C87"/>
    <w:rsid w:val="007C01D2"/>
    <w:rsid w:val="007C0BFC"/>
    <w:rsid w:val="007C0FAE"/>
    <w:rsid w:val="007C2FD6"/>
    <w:rsid w:val="007C4B03"/>
    <w:rsid w:val="007C4D2B"/>
    <w:rsid w:val="007C5056"/>
    <w:rsid w:val="007D4CAD"/>
    <w:rsid w:val="007D4F54"/>
    <w:rsid w:val="007D6194"/>
    <w:rsid w:val="007E3377"/>
    <w:rsid w:val="007E511B"/>
    <w:rsid w:val="007E55CE"/>
    <w:rsid w:val="007E7C44"/>
    <w:rsid w:val="007F0949"/>
    <w:rsid w:val="007F172E"/>
    <w:rsid w:val="007F1960"/>
    <w:rsid w:val="007F257C"/>
    <w:rsid w:val="007F25FB"/>
    <w:rsid w:val="007F27EB"/>
    <w:rsid w:val="007F3AE8"/>
    <w:rsid w:val="007F7692"/>
    <w:rsid w:val="007F781C"/>
    <w:rsid w:val="00803EDB"/>
    <w:rsid w:val="00805A86"/>
    <w:rsid w:val="00805C63"/>
    <w:rsid w:val="00807139"/>
    <w:rsid w:val="00807946"/>
    <w:rsid w:val="00812C3C"/>
    <w:rsid w:val="00812F72"/>
    <w:rsid w:val="00813872"/>
    <w:rsid w:val="00814252"/>
    <w:rsid w:val="008160F2"/>
    <w:rsid w:val="00816B69"/>
    <w:rsid w:val="00820497"/>
    <w:rsid w:val="00821E9D"/>
    <w:rsid w:val="008222A9"/>
    <w:rsid w:val="00823C34"/>
    <w:rsid w:val="0083146A"/>
    <w:rsid w:val="00832AAA"/>
    <w:rsid w:val="00834D75"/>
    <w:rsid w:val="00840343"/>
    <w:rsid w:val="00846314"/>
    <w:rsid w:val="0084652A"/>
    <w:rsid w:val="00846B86"/>
    <w:rsid w:val="00851372"/>
    <w:rsid w:val="00853FD9"/>
    <w:rsid w:val="008550A7"/>
    <w:rsid w:val="00855450"/>
    <w:rsid w:val="00855563"/>
    <w:rsid w:val="0085605E"/>
    <w:rsid w:val="00861B0E"/>
    <w:rsid w:val="008639BF"/>
    <w:rsid w:val="00863B5B"/>
    <w:rsid w:val="008675A8"/>
    <w:rsid w:val="00867CD7"/>
    <w:rsid w:val="00872978"/>
    <w:rsid w:val="00873341"/>
    <w:rsid w:val="008758F9"/>
    <w:rsid w:val="00875C83"/>
    <w:rsid w:val="008762E2"/>
    <w:rsid w:val="0087632D"/>
    <w:rsid w:val="00883B5C"/>
    <w:rsid w:val="00883B9C"/>
    <w:rsid w:val="00885AB7"/>
    <w:rsid w:val="00887D7D"/>
    <w:rsid w:val="0089380A"/>
    <w:rsid w:val="008950F3"/>
    <w:rsid w:val="00895DE0"/>
    <w:rsid w:val="008A13BE"/>
    <w:rsid w:val="008A3122"/>
    <w:rsid w:val="008A36A3"/>
    <w:rsid w:val="008A57A3"/>
    <w:rsid w:val="008A6465"/>
    <w:rsid w:val="008B160E"/>
    <w:rsid w:val="008B1BDA"/>
    <w:rsid w:val="008B353B"/>
    <w:rsid w:val="008B3E1B"/>
    <w:rsid w:val="008B40E2"/>
    <w:rsid w:val="008B4F4A"/>
    <w:rsid w:val="008B7481"/>
    <w:rsid w:val="008C39B0"/>
    <w:rsid w:val="008C4AE3"/>
    <w:rsid w:val="008C594E"/>
    <w:rsid w:val="008C6C0D"/>
    <w:rsid w:val="008D031D"/>
    <w:rsid w:val="008D1A1C"/>
    <w:rsid w:val="008D5334"/>
    <w:rsid w:val="008E5B3A"/>
    <w:rsid w:val="008E77AB"/>
    <w:rsid w:val="008F0329"/>
    <w:rsid w:val="008F4B26"/>
    <w:rsid w:val="009003AA"/>
    <w:rsid w:val="00900700"/>
    <w:rsid w:val="00900ED8"/>
    <w:rsid w:val="009012AC"/>
    <w:rsid w:val="00901722"/>
    <w:rsid w:val="00902637"/>
    <w:rsid w:val="009033CE"/>
    <w:rsid w:val="0090408A"/>
    <w:rsid w:val="009045D6"/>
    <w:rsid w:val="00904A90"/>
    <w:rsid w:val="0090569F"/>
    <w:rsid w:val="00907CFE"/>
    <w:rsid w:val="00910224"/>
    <w:rsid w:val="009110DC"/>
    <w:rsid w:val="00911145"/>
    <w:rsid w:val="0091252C"/>
    <w:rsid w:val="00912D3F"/>
    <w:rsid w:val="00913C04"/>
    <w:rsid w:val="009156F0"/>
    <w:rsid w:val="0091572E"/>
    <w:rsid w:val="00915BC2"/>
    <w:rsid w:val="00920D3A"/>
    <w:rsid w:val="00921F9A"/>
    <w:rsid w:val="00921FEF"/>
    <w:rsid w:val="00924F9D"/>
    <w:rsid w:val="00927F3C"/>
    <w:rsid w:val="0093171A"/>
    <w:rsid w:val="00931A23"/>
    <w:rsid w:val="0093402F"/>
    <w:rsid w:val="00934230"/>
    <w:rsid w:val="00934296"/>
    <w:rsid w:val="009344B4"/>
    <w:rsid w:val="0093587C"/>
    <w:rsid w:val="009364D1"/>
    <w:rsid w:val="009377B8"/>
    <w:rsid w:val="00937844"/>
    <w:rsid w:val="009416DA"/>
    <w:rsid w:val="00941AB0"/>
    <w:rsid w:val="00941AB5"/>
    <w:rsid w:val="00942334"/>
    <w:rsid w:val="0094558B"/>
    <w:rsid w:val="0094571E"/>
    <w:rsid w:val="009463B3"/>
    <w:rsid w:val="00947628"/>
    <w:rsid w:val="00950828"/>
    <w:rsid w:val="00950BA5"/>
    <w:rsid w:val="00952E4D"/>
    <w:rsid w:val="00955C6E"/>
    <w:rsid w:val="009565DC"/>
    <w:rsid w:val="00956E3E"/>
    <w:rsid w:val="009645DC"/>
    <w:rsid w:val="00964EFD"/>
    <w:rsid w:val="00965308"/>
    <w:rsid w:val="009657B6"/>
    <w:rsid w:val="00965953"/>
    <w:rsid w:val="00966FFB"/>
    <w:rsid w:val="0097165A"/>
    <w:rsid w:val="009765A3"/>
    <w:rsid w:val="0098024D"/>
    <w:rsid w:val="009807B7"/>
    <w:rsid w:val="00982584"/>
    <w:rsid w:val="00983ED0"/>
    <w:rsid w:val="009847FF"/>
    <w:rsid w:val="00986B0E"/>
    <w:rsid w:val="00991CC4"/>
    <w:rsid w:val="00991D26"/>
    <w:rsid w:val="00991F14"/>
    <w:rsid w:val="00992614"/>
    <w:rsid w:val="00993241"/>
    <w:rsid w:val="009940D6"/>
    <w:rsid w:val="00995DB8"/>
    <w:rsid w:val="00997294"/>
    <w:rsid w:val="00997361"/>
    <w:rsid w:val="00997661"/>
    <w:rsid w:val="00997849"/>
    <w:rsid w:val="00997E03"/>
    <w:rsid w:val="009A0DC8"/>
    <w:rsid w:val="009A100C"/>
    <w:rsid w:val="009A2FC5"/>
    <w:rsid w:val="009A33E9"/>
    <w:rsid w:val="009A53B4"/>
    <w:rsid w:val="009A7EE2"/>
    <w:rsid w:val="009B1B6E"/>
    <w:rsid w:val="009B37B5"/>
    <w:rsid w:val="009C16C0"/>
    <w:rsid w:val="009C27A5"/>
    <w:rsid w:val="009C37BD"/>
    <w:rsid w:val="009C4E59"/>
    <w:rsid w:val="009C4F32"/>
    <w:rsid w:val="009C6838"/>
    <w:rsid w:val="009D1532"/>
    <w:rsid w:val="009D166B"/>
    <w:rsid w:val="009D2F91"/>
    <w:rsid w:val="009D3335"/>
    <w:rsid w:val="009D5528"/>
    <w:rsid w:val="009D57B0"/>
    <w:rsid w:val="009D6A06"/>
    <w:rsid w:val="009E0A65"/>
    <w:rsid w:val="009E2C78"/>
    <w:rsid w:val="009E36F7"/>
    <w:rsid w:val="009E4757"/>
    <w:rsid w:val="009E48B8"/>
    <w:rsid w:val="009E667F"/>
    <w:rsid w:val="009F1B8B"/>
    <w:rsid w:val="009F1D06"/>
    <w:rsid w:val="009F2A7B"/>
    <w:rsid w:val="009F6E87"/>
    <w:rsid w:val="009F71FB"/>
    <w:rsid w:val="00A003E6"/>
    <w:rsid w:val="00A00D46"/>
    <w:rsid w:val="00A01C5F"/>
    <w:rsid w:val="00A03879"/>
    <w:rsid w:val="00A05D4A"/>
    <w:rsid w:val="00A06AAB"/>
    <w:rsid w:val="00A07D64"/>
    <w:rsid w:val="00A14542"/>
    <w:rsid w:val="00A1520E"/>
    <w:rsid w:val="00A16D8F"/>
    <w:rsid w:val="00A17B38"/>
    <w:rsid w:val="00A224C4"/>
    <w:rsid w:val="00A242A2"/>
    <w:rsid w:val="00A275F8"/>
    <w:rsid w:val="00A309AD"/>
    <w:rsid w:val="00A3128C"/>
    <w:rsid w:val="00A31F8F"/>
    <w:rsid w:val="00A321A2"/>
    <w:rsid w:val="00A321E5"/>
    <w:rsid w:val="00A349A5"/>
    <w:rsid w:val="00A35B73"/>
    <w:rsid w:val="00A36A0B"/>
    <w:rsid w:val="00A413B7"/>
    <w:rsid w:val="00A417CA"/>
    <w:rsid w:val="00A43452"/>
    <w:rsid w:val="00A43DE7"/>
    <w:rsid w:val="00A44EE9"/>
    <w:rsid w:val="00A473D4"/>
    <w:rsid w:val="00A507FA"/>
    <w:rsid w:val="00A52B82"/>
    <w:rsid w:val="00A53EFD"/>
    <w:rsid w:val="00A5409F"/>
    <w:rsid w:val="00A54953"/>
    <w:rsid w:val="00A549AA"/>
    <w:rsid w:val="00A549F5"/>
    <w:rsid w:val="00A5533E"/>
    <w:rsid w:val="00A5579E"/>
    <w:rsid w:val="00A56BE5"/>
    <w:rsid w:val="00A56E1F"/>
    <w:rsid w:val="00A57CE7"/>
    <w:rsid w:val="00A61326"/>
    <w:rsid w:val="00A63E5C"/>
    <w:rsid w:val="00A6418B"/>
    <w:rsid w:val="00A6457F"/>
    <w:rsid w:val="00A661F7"/>
    <w:rsid w:val="00A66B09"/>
    <w:rsid w:val="00A675AD"/>
    <w:rsid w:val="00A700E9"/>
    <w:rsid w:val="00A70DF4"/>
    <w:rsid w:val="00A735FD"/>
    <w:rsid w:val="00A74D7C"/>
    <w:rsid w:val="00A76146"/>
    <w:rsid w:val="00A766E1"/>
    <w:rsid w:val="00A836D4"/>
    <w:rsid w:val="00A83A01"/>
    <w:rsid w:val="00A86A10"/>
    <w:rsid w:val="00A870C6"/>
    <w:rsid w:val="00A90528"/>
    <w:rsid w:val="00A936DB"/>
    <w:rsid w:val="00A95D7F"/>
    <w:rsid w:val="00A96F90"/>
    <w:rsid w:val="00AA0535"/>
    <w:rsid w:val="00AA2698"/>
    <w:rsid w:val="00AA3D83"/>
    <w:rsid w:val="00AA4E1C"/>
    <w:rsid w:val="00AA6B89"/>
    <w:rsid w:val="00AA6D19"/>
    <w:rsid w:val="00AA785A"/>
    <w:rsid w:val="00AB0773"/>
    <w:rsid w:val="00AB1453"/>
    <w:rsid w:val="00AB2DA7"/>
    <w:rsid w:val="00AB4ABF"/>
    <w:rsid w:val="00AC0674"/>
    <w:rsid w:val="00AC2D81"/>
    <w:rsid w:val="00AC48CC"/>
    <w:rsid w:val="00AC63E5"/>
    <w:rsid w:val="00AC719B"/>
    <w:rsid w:val="00AD2B2C"/>
    <w:rsid w:val="00AD2E4D"/>
    <w:rsid w:val="00AD495E"/>
    <w:rsid w:val="00AE051A"/>
    <w:rsid w:val="00AE170B"/>
    <w:rsid w:val="00AE1CAC"/>
    <w:rsid w:val="00AE3A22"/>
    <w:rsid w:val="00AE56FD"/>
    <w:rsid w:val="00AF11B3"/>
    <w:rsid w:val="00AF1E3A"/>
    <w:rsid w:val="00AF31AE"/>
    <w:rsid w:val="00AF4478"/>
    <w:rsid w:val="00AF5AB9"/>
    <w:rsid w:val="00AF6021"/>
    <w:rsid w:val="00AF64D4"/>
    <w:rsid w:val="00AF68F0"/>
    <w:rsid w:val="00AF6D2C"/>
    <w:rsid w:val="00AF6FAD"/>
    <w:rsid w:val="00B022F2"/>
    <w:rsid w:val="00B0456C"/>
    <w:rsid w:val="00B10340"/>
    <w:rsid w:val="00B10B1C"/>
    <w:rsid w:val="00B126DD"/>
    <w:rsid w:val="00B16B4D"/>
    <w:rsid w:val="00B16F55"/>
    <w:rsid w:val="00B17124"/>
    <w:rsid w:val="00B2482E"/>
    <w:rsid w:val="00B253C9"/>
    <w:rsid w:val="00B27966"/>
    <w:rsid w:val="00B30046"/>
    <w:rsid w:val="00B30618"/>
    <w:rsid w:val="00B30B09"/>
    <w:rsid w:val="00B3190A"/>
    <w:rsid w:val="00B31F2A"/>
    <w:rsid w:val="00B33DE7"/>
    <w:rsid w:val="00B42618"/>
    <w:rsid w:val="00B43220"/>
    <w:rsid w:val="00B43D49"/>
    <w:rsid w:val="00B450A4"/>
    <w:rsid w:val="00B4579F"/>
    <w:rsid w:val="00B46776"/>
    <w:rsid w:val="00B50FCE"/>
    <w:rsid w:val="00B51B5D"/>
    <w:rsid w:val="00B53C60"/>
    <w:rsid w:val="00B53CE1"/>
    <w:rsid w:val="00B53F55"/>
    <w:rsid w:val="00B54B5C"/>
    <w:rsid w:val="00B550EF"/>
    <w:rsid w:val="00B5765C"/>
    <w:rsid w:val="00B633B9"/>
    <w:rsid w:val="00B63B39"/>
    <w:rsid w:val="00B669D4"/>
    <w:rsid w:val="00B71926"/>
    <w:rsid w:val="00B72973"/>
    <w:rsid w:val="00B74A36"/>
    <w:rsid w:val="00B74D82"/>
    <w:rsid w:val="00B7573A"/>
    <w:rsid w:val="00B83112"/>
    <w:rsid w:val="00B836B8"/>
    <w:rsid w:val="00B83D02"/>
    <w:rsid w:val="00B84A10"/>
    <w:rsid w:val="00B8764B"/>
    <w:rsid w:val="00B913E3"/>
    <w:rsid w:val="00B93F91"/>
    <w:rsid w:val="00B96FB3"/>
    <w:rsid w:val="00BA1145"/>
    <w:rsid w:val="00BA1CBE"/>
    <w:rsid w:val="00BA316D"/>
    <w:rsid w:val="00BA49A9"/>
    <w:rsid w:val="00BA4A8B"/>
    <w:rsid w:val="00BA570A"/>
    <w:rsid w:val="00BA665D"/>
    <w:rsid w:val="00BA6FEE"/>
    <w:rsid w:val="00BA7A51"/>
    <w:rsid w:val="00BA7E6C"/>
    <w:rsid w:val="00BB030E"/>
    <w:rsid w:val="00BB12BB"/>
    <w:rsid w:val="00BB20CF"/>
    <w:rsid w:val="00BB2414"/>
    <w:rsid w:val="00BB3BF6"/>
    <w:rsid w:val="00BB3F38"/>
    <w:rsid w:val="00BB60BC"/>
    <w:rsid w:val="00BB6D5D"/>
    <w:rsid w:val="00BC0508"/>
    <w:rsid w:val="00BC2DE7"/>
    <w:rsid w:val="00BC4910"/>
    <w:rsid w:val="00BD4681"/>
    <w:rsid w:val="00BD5033"/>
    <w:rsid w:val="00BD549B"/>
    <w:rsid w:val="00BD65B5"/>
    <w:rsid w:val="00BE11E6"/>
    <w:rsid w:val="00BE3978"/>
    <w:rsid w:val="00BE3996"/>
    <w:rsid w:val="00BE5CDB"/>
    <w:rsid w:val="00BE694D"/>
    <w:rsid w:val="00BF0414"/>
    <w:rsid w:val="00BF0FDD"/>
    <w:rsid w:val="00BF2D35"/>
    <w:rsid w:val="00BF2F95"/>
    <w:rsid w:val="00BF3624"/>
    <w:rsid w:val="00BF397B"/>
    <w:rsid w:val="00BF4BDD"/>
    <w:rsid w:val="00C002D3"/>
    <w:rsid w:val="00C00394"/>
    <w:rsid w:val="00C00E2C"/>
    <w:rsid w:val="00C01220"/>
    <w:rsid w:val="00C01B96"/>
    <w:rsid w:val="00C02879"/>
    <w:rsid w:val="00C042A5"/>
    <w:rsid w:val="00C0686F"/>
    <w:rsid w:val="00C06CED"/>
    <w:rsid w:val="00C10978"/>
    <w:rsid w:val="00C130E1"/>
    <w:rsid w:val="00C14104"/>
    <w:rsid w:val="00C14B10"/>
    <w:rsid w:val="00C1611C"/>
    <w:rsid w:val="00C166C8"/>
    <w:rsid w:val="00C17C21"/>
    <w:rsid w:val="00C21D4F"/>
    <w:rsid w:val="00C22613"/>
    <w:rsid w:val="00C235EC"/>
    <w:rsid w:val="00C255CF"/>
    <w:rsid w:val="00C261D7"/>
    <w:rsid w:val="00C272E6"/>
    <w:rsid w:val="00C27C9E"/>
    <w:rsid w:val="00C311D1"/>
    <w:rsid w:val="00C315A2"/>
    <w:rsid w:val="00C334AB"/>
    <w:rsid w:val="00C34131"/>
    <w:rsid w:val="00C343DB"/>
    <w:rsid w:val="00C34ABE"/>
    <w:rsid w:val="00C37097"/>
    <w:rsid w:val="00C40192"/>
    <w:rsid w:val="00C404C6"/>
    <w:rsid w:val="00C5116C"/>
    <w:rsid w:val="00C53C80"/>
    <w:rsid w:val="00C53CC4"/>
    <w:rsid w:val="00C55AE2"/>
    <w:rsid w:val="00C607EF"/>
    <w:rsid w:val="00C60D24"/>
    <w:rsid w:val="00C61E3D"/>
    <w:rsid w:val="00C61E3E"/>
    <w:rsid w:val="00C62DB7"/>
    <w:rsid w:val="00C634CA"/>
    <w:rsid w:val="00C6464D"/>
    <w:rsid w:val="00C64722"/>
    <w:rsid w:val="00C67739"/>
    <w:rsid w:val="00C711A2"/>
    <w:rsid w:val="00C71EAD"/>
    <w:rsid w:val="00C72A68"/>
    <w:rsid w:val="00C72F12"/>
    <w:rsid w:val="00C7596F"/>
    <w:rsid w:val="00C766DD"/>
    <w:rsid w:val="00C7741E"/>
    <w:rsid w:val="00C8132B"/>
    <w:rsid w:val="00C828F6"/>
    <w:rsid w:val="00C83488"/>
    <w:rsid w:val="00C84128"/>
    <w:rsid w:val="00C84147"/>
    <w:rsid w:val="00C85530"/>
    <w:rsid w:val="00C865BC"/>
    <w:rsid w:val="00C875D9"/>
    <w:rsid w:val="00C87D41"/>
    <w:rsid w:val="00C904D5"/>
    <w:rsid w:val="00C90C50"/>
    <w:rsid w:val="00C92402"/>
    <w:rsid w:val="00C92856"/>
    <w:rsid w:val="00C928EB"/>
    <w:rsid w:val="00C94566"/>
    <w:rsid w:val="00C94CBA"/>
    <w:rsid w:val="00C96EA3"/>
    <w:rsid w:val="00CA1A21"/>
    <w:rsid w:val="00CA4553"/>
    <w:rsid w:val="00CA5439"/>
    <w:rsid w:val="00CB207E"/>
    <w:rsid w:val="00CB26D0"/>
    <w:rsid w:val="00CB3AB0"/>
    <w:rsid w:val="00CB3B1E"/>
    <w:rsid w:val="00CB409D"/>
    <w:rsid w:val="00CB65F0"/>
    <w:rsid w:val="00CB792A"/>
    <w:rsid w:val="00CC033B"/>
    <w:rsid w:val="00CC16BE"/>
    <w:rsid w:val="00CC347C"/>
    <w:rsid w:val="00CC555D"/>
    <w:rsid w:val="00CC569B"/>
    <w:rsid w:val="00CC7408"/>
    <w:rsid w:val="00CD0D83"/>
    <w:rsid w:val="00CD4CA6"/>
    <w:rsid w:val="00CD797A"/>
    <w:rsid w:val="00CE0060"/>
    <w:rsid w:val="00CE0AD1"/>
    <w:rsid w:val="00CE0CC4"/>
    <w:rsid w:val="00CE110B"/>
    <w:rsid w:val="00CE445B"/>
    <w:rsid w:val="00CE524F"/>
    <w:rsid w:val="00CE57E6"/>
    <w:rsid w:val="00CE798E"/>
    <w:rsid w:val="00CE7F3E"/>
    <w:rsid w:val="00CF1AAF"/>
    <w:rsid w:val="00CF1F52"/>
    <w:rsid w:val="00CF2146"/>
    <w:rsid w:val="00CF3B65"/>
    <w:rsid w:val="00CF3CC2"/>
    <w:rsid w:val="00CF3E5A"/>
    <w:rsid w:val="00CF3F3D"/>
    <w:rsid w:val="00CF4CC4"/>
    <w:rsid w:val="00CF6E41"/>
    <w:rsid w:val="00D01E06"/>
    <w:rsid w:val="00D03E52"/>
    <w:rsid w:val="00D06371"/>
    <w:rsid w:val="00D07BF4"/>
    <w:rsid w:val="00D1106F"/>
    <w:rsid w:val="00D110CB"/>
    <w:rsid w:val="00D11913"/>
    <w:rsid w:val="00D119E1"/>
    <w:rsid w:val="00D12420"/>
    <w:rsid w:val="00D14D2E"/>
    <w:rsid w:val="00D166D8"/>
    <w:rsid w:val="00D16817"/>
    <w:rsid w:val="00D17238"/>
    <w:rsid w:val="00D20758"/>
    <w:rsid w:val="00D21966"/>
    <w:rsid w:val="00D22867"/>
    <w:rsid w:val="00D233F2"/>
    <w:rsid w:val="00D23424"/>
    <w:rsid w:val="00D23E42"/>
    <w:rsid w:val="00D27D67"/>
    <w:rsid w:val="00D3417D"/>
    <w:rsid w:val="00D3702C"/>
    <w:rsid w:val="00D414BB"/>
    <w:rsid w:val="00D41B74"/>
    <w:rsid w:val="00D43004"/>
    <w:rsid w:val="00D43B57"/>
    <w:rsid w:val="00D4563E"/>
    <w:rsid w:val="00D46344"/>
    <w:rsid w:val="00D53851"/>
    <w:rsid w:val="00D54FFB"/>
    <w:rsid w:val="00D56E34"/>
    <w:rsid w:val="00D57AE9"/>
    <w:rsid w:val="00D62F76"/>
    <w:rsid w:val="00D656B7"/>
    <w:rsid w:val="00D66E01"/>
    <w:rsid w:val="00D6741A"/>
    <w:rsid w:val="00D67493"/>
    <w:rsid w:val="00D70A14"/>
    <w:rsid w:val="00D723CD"/>
    <w:rsid w:val="00D738AC"/>
    <w:rsid w:val="00D73C1A"/>
    <w:rsid w:val="00D73FA1"/>
    <w:rsid w:val="00D74B3D"/>
    <w:rsid w:val="00D772D3"/>
    <w:rsid w:val="00D80BB5"/>
    <w:rsid w:val="00D817DC"/>
    <w:rsid w:val="00D84CF6"/>
    <w:rsid w:val="00D851CC"/>
    <w:rsid w:val="00D862AE"/>
    <w:rsid w:val="00D877DA"/>
    <w:rsid w:val="00D90063"/>
    <w:rsid w:val="00D9197F"/>
    <w:rsid w:val="00D920BF"/>
    <w:rsid w:val="00D931AB"/>
    <w:rsid w:val="00D95E96"/>
    <w:rsid w:val="00D96617"/>
    <w:rsid w:val="00D970B4"/>
    <w:rsid w:val="00D97764"/>
    <w:rsid w:val="00DA02E0"/>
    <w:rsid w:val="00DA233C"/>
    <w:rsid w:val="00DA27FB"/>
    <w:rsid w:val="00DA4789"/>
    <w:rsid w:val="00DA6950"/>
    <w:rsid w:val="00DB003A"/>
    <w:rsid w:val="00DB09F8"/>
    <w:rsid w:val="00DB0A40"/>
    <w:rsid w:val="00DB0A4F"/>
    <w:rsid w:val="00DB1B07"/>
    <w:rsid w:val="00DB46D5"/>
    <w:rsid w:val="00DB5E24"/>
    <w:rsid w:val="00DB6760"/>
    <w:rsid w:val="00DB7997"/>
    <w:rsid w:val="00DC415D"/>
    <w:rsid w:val="00DC4B2D"/>
    <w:rsid w:val="00DC5ABB"/>
    <w:rsid w:val="00DC649A"/>
    <w:rsid w:val="00DC69C9"/>
    <w:rsid w:val="00DD3333"/>
    <w:rsid w:val="00DD4E10"/>
    <w:rsid w:val="00DE020B"/>
    <w:rsid w:val="00DE33A3"/>
    <w:rsid w:val="00DE5D3A"/>
    <w:rsid w:val="00DE70A4"/>
    <w:rsid w:val="00DE7165"/>
    <w:rsid w:val="00DF0953"/>
    <w:rsid w:val="00DF0D4B"/>
    <w:rsid w:val="00DF3FEF"/>
    <w:rsid w:val="00DF4626"/>
    <w:rsid w:val="00DF46AF"/>
    <w:rsid w:val="00DF537D"/>
    <w:rsid w:val="00DF5C56"/>
    <w:rsid w:val="00DF7E9D"/>
    <w:rsid w:val="00E00D5F"/>
    <w:rsid w:val="00E01830"/>
    <w:rsid w:val="00E01E29"/>
    <w:rsid w:val="00E0238A"/>
    <w:rsid w:val="00E04682"/>
    <w:rsid w:val="00E063FE"/>
    <w:rsid w:val="00E1233C"/>
    <w:rsid w:val="00E123A4"/>
    <w:rsid w:val="00E13D0F"/>
    <w:rsid w:val="00E149D2"/>
    <w:rsid w:val="00E1586F"/>
    <w:rsid w:val="00E170F6"/>
    <w:rsid w:val="00E17EC2"/>
    <w:rsid w:val="00E2091C"/>
    <w:rsid w:val="00E20A5D"/>
    <w:rsid w:val="00E2732B"/>
    <w:rsid w:val="00E273D8"/>
    <w:rsid w:val="00E274CA"/>
    <w:rsid w:val="00E30593"/>
    <w:rsid w:val="00E32007"/>
    <w:rsid w:val="00E33023"/>
    <w:rsid w:val="00E33BF5"/>
    <w:rsid w:val="00E3512A"/>
    <w:rsid w:val="00E37B39"/>
    <w:rsid w:val="00E428A4"/>
    <w:rsid w:val="00E44899"/>
    <w:rsid w:val="00E449FD"/>
    <w:rsid w:val="00E4508B"/>
    <w:rsid w:val="00E45EE5"/>
    <w:rsid w:val="00E46C1D"/>
    <w:rsid w:val="00E522C1"/>
    <w:rsid w:val="00E54E9E"/>
    <w:rsid w:val="00E558A1"/>
    <w:rsid w:val="00E55973"/>
    <w:rsid w:val="00E55A5D"/>
    <w:rsid w:val="00E56AF4"/>
    <w:rsid w:val="00E56E4C"/>
    <w:rsid w:val="00E6223B"/>
    <w:rsid w:val="00E63234"/>
    <w:rsid w:val="00E71BED"/>
    <w:rsid w:val="00E7693D"/>
    <w:rsid w:val="00E7782E"/>
    <w:rsid w:val="00E80449"/>
    <w:rsid w:val="00E80809"/>
    <w:rsid w:val="00E822D4"/>
    <w:rsid w:val="00E8317B"/>
    <w:rsid w:val="00E851C6"/>
    <w:rsid w:val="00E86180"/>
    <w:rsid w:val="00E87369"/>
    <w:rsid w:val="00E92710"/>
    <w:rsid w:val="00E928B7"/>
    <w:rsid w:val="00E92D96"/>
    <w:rsid w:val="00E935C6"/>
    <w:rsid w:val="00E947D6"/>
    <w:rsid w:val="00E94D26"/>
    <w:rsid w:val="00E95E45"/>
    <w:rsid w:val="00E96367"/>
    <w:rsid w:val="00E97640"/>
    <w:rsid w:val="00EA0D94"/>
    <w:rsid w:val="00EA13D8"/>
    <w:rsid w:val="00EA49AA"/>
    <w:rsid w:val="00EB3EF2"/>
    <w:rsid w:val="00EB4A1C"/>
    <w:rsid w:val="00EB53CB"/>
    <w:rsid w:val="00EB56BF"/>
    <w:rsid w:val="00EB7A26"/>
    <w:rsid w:val="00EC00ED"/>
    <w:rsid w:val="00EC07CB"/>
    <w:rsid w:val="00EC3B74"/>
    <w:rsid w:val="00EC3FA1"/>
    <w:rsid w:val="00EC4157"/>
    <w:rsid w:val="00EC6314"/>
    <w:rsid w:val="00EC6B73"/>
    <w:rsid w:val="00EC7367"/>
    <w:rsid w:val="00EC7911"/>
    <w:rsid w:val="00ED0F3B"/>
    <w:rsid w:val="00ED3237"/>
    <w:rsid w:val="00ED3C7C"/>
    <w:rsid w:val="00ED66D7"/>
    <w:rsid w:val="00ED6F46"/>
    <w:rsid w:val="00ED78BE"/>
    <w:rsid w:val="00EE0581"/>
    <w:rsid w:val="00EE28B2"/>
    <w:rsid w:val="00EE4BDE"/>
    <w:rsid w:val="00EE5CB2"/>
    <w:rsid w:val="00EE5D1B"/>
    <w:rsid w:val="00EE5F76"/>
    <w:rsid w:val="00EE7C74"/>
    <w:rsid w:val="00EF1E4A"/>
    <w:rsid w:val="00EF4E5B"/>
    <w:rsid w:val="00EF5116"/>
    <w:rsid w:val="00EF57B0"/>
    <w:rsid w:val="00EF5F0B"/>
    <w:rsid w:val="00EF7A2B"/>
    <w:rsid w:val="00F007B9"/>
    <w:rsid w:val="00F01951"/>
    <w:rsid w:val="00F03106"/>
    <w:rsid w:val="00F03368"/>
    <w:rsid w:val="00F06475"/>
    <w:rsid w:val="00F07FDC"/>
    <w:rsid w:val="00F10539"/>
    <w:rsid w:val="00F12577"/>
    <w:rsid w:val="00F15F05"/>
    <w:rsid w:val="00F166A4"/>
    <w:rsid w:val="00F17E90"/>
    <w:rsid w:val="00F2104B"/>
    <w:rsid w:val="00F21E1A"/>
    <w:rsid w:val="00F2206C"/>
    <w:rsid w:val="00F22527"/>
    <w:rsid w:val="00F26F48"/>
    <w:rsid w:val="00F27AD1"/>
    <w:rsid w:val="00F3168F"/>
    <w:rsid w:val="00F3217A"/>
    <w:rsid w:val="00F3299C"/>
    <w:rsid w:val="00F34829"/>
    <w:rsid w:val="00F34C4B"/>
    <w:rsid w:val="00F37FFD"/>
    <w:rsid w:val="00F40710"/>
    <w:rsid w:val="00F40975"/>
    <w:rsid w:val="00F40C9E"/>
    <w:rsid w:val="00F41F13"/>
    <w:rsid w:val="00F43D1E"/>
    <w:rsid w:val="00F50C35"/>
    <w:rsid w:val="00F5175F"/>
    <w:rsid w:val="00F53361"/>
    <w:rsid w:val="00F552B9"/>
    <w:rsid w:val="00F56210"/>
    <w:rsid w:val="00F57C49"/>
    <w:rsid w:val="00F6411F"/>
    <w:rsid w:val="00F64F6E"/>
    <w:rsid w:val="00F65571"/>
    <w:rsid w:val="00F7074E"/>
    <w:rsid w:val="00F750F3"/>
    <w:rsid w:val="00F757B8"/>
    <w:rsid w:val="00F75D2C"/>
    <w:rsid w:val="00F76774"/>
    <w:rsid w:val="00F77133"/>
    <w:rsid w:val="00F779F8"/>
    <w:rsid w:val="00F813A0"/>
    <w:rsid w:val="00F83A7B"/>
    <w:rsid w:val="00F8662A"/>
    <w:rsid w:val="00F936E8"/>
    <w:rsid w:val="00F93A0B"/>
    <w:rsid w:val="00F967A4"/>
    <w:rsid w:val="00F96CF8"/>
    <w:rsid w:val="00FA43EF"/>
    <w:rsid w:val="00FA5622"/>
    <w:rsid w:val="00FA5F03"/>
    <w:rsid w:val="00FA6114"/>
    <w:rsid w:val="00FA691E"/>
    <w:rsid w:val="00FA7D94"/>
    <w:rsid w:val="00FB2C9B"/>
    <w:rsid w:val="00FB2DFE"/>
    <w:rsid w:val="00FB4995"/>
    <w:rsid w:val="00FB60B6"/>
    <w:rsid w:val="00FB6735"/>
    <w:rsid w:val="00FB675A"/>
    <w:rsid w:val="00FC2421"/>
    <w:rsid w:val="00FC2A84"/>
    <w:rsid w:val="00FC46BB"/>
    <w:rsid w:val="00FC5FE6"/>
    <w:rsid w:val="00FC6C17"/>
    <w:rsid w:val="00FC7AF6"/>
    <w:rsid w:val="00FD1459"/>
    <w:rsid w:val="00FD2D8E"/>
    <w:rsid w:val="00FD54C7"/>
    <w:rsid w:val="00FE0D83"/>
    <w:rsid w:val="00FE2444"/>
    <w:rsid w:val="00FE420A"/>
    <w:rsid w:val="00FE59C6"/>
    <w:rsid w:val="00FE7AF9"/>
    <w:rsid w:val="00FE7D7F"/>
    <w:rsid w:val="00FF0131"/>
    <w:rsid w:val="00FF04B8"/>
    <w:rsid w:val="00FF1799"/>
    <w:rsid w:val="00FF1953"/>
    <w:rsid w:val="00FF1E93"/>
    <w:rsid w:val="00FF2B17"/>
    <w:rsid w:val="00FF3D1A"/>
    <w:rsid w:val="00FF406D"/>
    <w:rsid w:val="00FF4B3B"/>
    <w:rsid w:val="00FF5A95"/>
    <w:rsid w:val="00FF6C4E"/>
    <w:rsid w:val="00FF6F21"/>
    <w:rsid w:val="0109531D"/>
    <w:rsid w:val="011A5CB1"/>
    <w:rsid w:val="01286562"/>
    <w:rsid w:val="012E2061"/>
    <w:rsid w:val="01483CB3"/>
    <w:rsid w:val="01500197"/>
    <w:rsid w:val="015F2A65"/>
    <w:rsid w:val="017515E5"/>
    <w:rsid w:val="019224BE"/>
    <w:rsid w:val="01A75DDB"/>
    <w:rsid w:val="01B20120"/>
    <w:rsid w:val="01C60397"/>
    <w:rsid w:val="01D7555D"/>
    <w:rsid w:val="01D8453D"/>
    <w:rsid w:val="01F4083C"/>
    <w:rsid w:val="020E6FDC"/>
    <w:rsid w:val="02167140"/>
    <w:rsid w:val="022611A0"/>
    <w:rsid w:val="022B7B9F"/>
    <w:rsid w:val="023747AF"/>
    <w:rsid w:val="024F4E24"/>
    <w:rsid w:val="02545051"/>
    <w:rsid w:val="027174AB"/>
    <w:rsid w:val="02717BDA"/>
    <w:rsid w:val="027F456B"/>
    <w:rsid w:val="027F62D8"/>
    <w:rsid w:val="02830618"/>
    <w:rsid w:val="029B6DD4"/>
    <w:rsid w:val="02A3019D"/>
    <w:rsid w:val="02AC2B00"/>
    <w:rsid w:val="02C44BAF"/>
    <w:rsid w:val="02CC3464"/>
    <w:rsid w:val="02D02D37"/>
    <w:rsid w:val="02D41D88"/>
    <w:rsid w:val="02D748C0"/>
    <w:rsid w:val="02D9637D"/>
    <w:rsid w:val="02E430B2"/>
    <w:rsid w:val="02E70303"/>
    <w:rsid w:val="02EA0343"/>
    <w:rsid w:val="02EF66AF"/>
    <w:rsid w:val="02FD4C21"/>
    <w:rsid w:val="03161FDC"/>
    <w:rsid w:val="032F46D3"/>
    <w:rsid w:val="033440AD"/>
    <w:rsid w:val="03387218"/>
    <w:rsid w:val="035557F5"/>
    <w:rsid w:val="03681C3C"/>
    <w:rsid w:val="0371718A"/>
    <w:rsid w:val="03897016"/>
    <w:rsid w:val="03B52879"/>
    <w:rsid w:val="03B64756"/>
    <w:rsid w:val="03BB7C60"/>
    <w:rsid w:val="03C63FC1"/>
    <w:rsid w:val="03D3297F"/>
    <w:rsid w:val="03F53C49"/>
    <w:rsid w:val="04046013"/>
    <w:rsid w:val="040E4B54"/>
    <w:rsid w:val="04183B76"/>
    <w:rsid w:val="04232447"/>
    <w:rsid w:val="042671D5"/>
    <w:rsid w:val="04402457"/>
    <w:rsid w:val="04525DA3"/>
    <w:rsid w:val="045648D1"/>
    <w:rsid w:val="04623D75"/>
    <w:rsid w:val="04644B0E"/>
    <w:rsid w:val="046B26E2"/>
    <w:rsid w:val="04A97FA8"/>
    <w:rsid w:val="04BA1DF4"/>
    <w:rsid w:val="04C504D6"/>
    <w:rsid w:val="04D5724C"/>
    <w:rsid w:val="04D85410"/>
    <w:rsid w:val="04F12EAB"/>
    <w:rsid w:val="05187F1D"/>
    <w:rsid w:val="05277382"/>
    <w:rsid w:val="057D0C62"/>
    <w:rsid w:val="05B33A64"/>
    <w:rsid w:val="05BE451B"/>
    <w:rsid w:val="05C018A2"/>
    <w:rsid w:val="05D51274"/>
    <w:rsid w:val="05F43E05"/>
    <w:rsid w:val="061F2C31"/>
    <w:rsid w:val="064A13E1"/>
    <w:rsid w:val="06543ADB"/>
    <w:rsid w:val="06623285"/>
    <w:rsid w:val="066B348F"/>
    <w:rsid w:val="06805CA3"/>
    <w:rsid w:val="069A6971"/>
    <w:rsid w:val="06CD2EF5"/>
    <w:rsid w:val="06D13C36"/>
    <w:rsid w:val="06E253E7"/>
    <w:rsid w:val="06EB779A"/>
    <w:rsid w:val="06EF446D"/>
    <w:rsid w:val="0708351A"/>
    <w:rsid w:val="0710210C"/>
    <w:rsid w:val="07330D3B"/>
    <w:rsid w:val="073935E8"/>
    <w:rsid w:val="075043F1"/>
    <w:rsid w:val="076B50BC"/>
    <w:rsid w:val="07A5003B"/>
    <w:rsid w:val="07A6619A"/>
    <w:rsid w:val="07B45814"/>
    <w:rsid w:val="07BD035D"/>
    <w:rsid w:val="07C84277"/>
    <w:rsid w:val="07DE6398"/>
    <w:rsid w:val="07FF60F9"/>
    <w:rsid w:val="080068F6"/>
    <w:rsid w:val="080526EA"/>
    <w:rsid w:val="080944F9"/>
    <w:rsid w:val="080C13C2"/>
    <w:rsid w:val="08344CA2"/>
    <w:rsid w:val="0848043D"/>
    <w:rsid w:val="08583ABA"/>
    <w:rsid w:val="087D19AF"/>
    <w:rsid w:val="088C0B52"/>
    <w:rsid w:val="08AA4265"/>
    <w:rsid w:val="08AF0BCB"/>
    <w:rsid w:val="08C77114"/>
    <w:rsid w:val="08E254E5"/>
    <w:rsid w:val="08E66479"/>
    <w:rsid w:val="08F42566"/>
    <w:rsid w:val="0923193E"/>
    <w:rsid w:val="092C7268"/>
    <w:rsid w:val="0943745A"/>
    <w:rsid w:val="095848E4"/>
    <w:rsid w:val="097430E9"/>
    <w:rsid w:val="098D4D22"/>
    <w:rsid w:val="09926C3F"/>
    <w:rsid w:val="09B43CFC"/>
    <w:rsid w:val="09CA6C5D"/>
    <w:rsid w:val="09D704E2"/>
    <w:rsid w:val="09DD6F7F"/>
    <w:rsid w:val="09E57882"/>
    <w:rsid w:val="09E87633"/>
    <w:rsid w:val="09EB6BA5"/>
    <w:rsid w:val="0A1569B2"/>
    <w:rsid w:val="0A1C72DC"/>
    <w:rsid w:val="0A1E6855"/>
    <w:rsid w:val="0A272508"/>
    <w:rsid w:val="0A38317A"/>
    <w:rsid w:val="0A55458E"/>
    <w:rsid w:val="0A6213E6"/>
    <w:rsid w:val="0A6258BD"/>
    <w:rsid w:val="0A663DA6"/>
    <w:rsid w:val="0A6A44EC"/>
    <w:rsid w:val="0A7C7130"/>
    <w:rsid w:val="0A890A94"/>
    <w:rsid w:val="0A8D5BDD"/>
    <w:rsid w:val="0A981B15"/>
    <w:rsid w:val="0A9A1F1A"/>
    <w:rsid w:val="0AA53386"/>
    <w:rsid w:val="0AA74589"/>
    <w:rsid w:val="0ACA4385"/>
    <w:rsid w:val="0ACF5E3A"/>
    <w:rsid w:val="0ADA79B1"/>
    <w:rsid w:val="0AFA0790"/>
    <w:rsid w:val="0B3F4299"/>
    <w:rsid w:val="0B40499B"/>
    <w:rsid w:val="0B535019"/>
    <w:rsid w:val="0B6C515F"/>
    <w:rsid w:val="0B75220E"/>
    <w:rsid w:val="0B8B478F"/>
    <w:rsid w:val="0B9A0F05"/>
    <w:rsid w:val="0BB9314C"/>
    <w:rsid w:val="0BBF5056"/>
    <w:rsid w:val="0BDD6189"/>
    <w:rsid w:val="0C0E70CD"/>
    <w:rsid w:val="0C15400B"/>
    <w:rsid w:val="0C230DF6"/>
    <w:rsid w:val="0C42228F"/>
    <w:rsid w:val="0C6042C8"/>
    <w:rsid w:val="0C6223E4"/>
    <w:rsid w:val="0C644240"/>
    <w:rsid w:val="0C6A6FF5"/>
    <w:rsid w:val="0C722409"/>
    <w:rsid w:val="0C725B20"/>
    <w:rsid w:val="0C725F6D"/>
    <w:rsid w:val="0C842879"/>
    <w:rsid w:val="0C847C19"/>
    <w:rsid w:val="0C9772B7"/>
    <w:rsid w:val="0CAC303E"/>
    <w:rsid w:val="0CC41BE7"/>
    <w:rsid w:val="0CF3634C"/>
    <w:rsid w:val="0D361B9B"/>
    <w:rsid w:val="0D680505"/>
    <w:rsid w:val="0D782FEA"/>
    <w:rsid w:val="0D9C0F3E"/>
    <w:rsid w:val="0DB55FCE"/>
    <w:rsid w:val="0DC43F13"/>
    <w:rsid w:val="0DD124B7"/>
    <w:rsid w:val="0DD17395"/>
    <w:rsid w:val="0DFE62EE"/>
    <w:rsid w:val="0E0661FB"/>
    <w:rsid w:val="0E250FC0"/>
    <w:rsid w:val="0E270543"/>
    <w:rsid w:val="0E2C734E"/>
    <w:rsid w:val="0E384152"/>
    <w:rsid w:val="0E471E86"/>
    <w:rsid w:val="0E4A457D"/>
    <w:rsid w:val="0E756228"/>
    <w:rsid w:val="0E864717"/>
    <w:rsid w:val="0E8675E8"/>
    <w:rsid w:val="0EB74D33"/>
    <w:rsid w:val="0EC81817"/>
    <w:rsid w:val="0EC9794B"/>
    <w:rsid w:val="0ECD2215"/>
    <w:rsid w:val="0ED70B2E"/>
    <w:rsid w:val="0EF428A4"/>
    <w:rsid w:val="0EF67916"/>
    <w:rsid w:val="0F0366FE"/>
    <w:rsid w:val="0F086B32"/>
    <w:rsid w:val="0F14458B"/>
    <w:rsid w:val="0F371405"/>
    <w:rsid w:val="0F4E089F"/>
    <w:rsid w:val="0F4F4749"/>
    <w:rsid w:val="0F5E79B6"/>
    <w:rsid w:val="0F6A47D7"/>
    <w:rsid w:val="0F8B4953"/>
    <w:rsid w:val="0F8E0DA6"/>
    <w:rsid w:val="0FA7747A"/>
    <w:rsid w:val="0FCD3D72"/>
    <w:rsid w:val="0FED56EF"/>
    <w:rsid w:val="0FFE4D75"/>
    <w:rsid w:val="100C7469"/>
    <w:rsid w:val="101316CB"/>
    <w:rsid w:val="10154C70"/>
    <w:rsid w:val="1031679E"/>
    <w:rsid w:val="103A38DC"/>
    <w:rsid w:val="10447AF2"/>
    <w:rsid w:val="104C1BD4"/>
    <w:rsid w:val="105C3F66"/>
    <w:rsid w:val="10716B67"/>
    <w:rsid w:val="10907E3C"/>
    <w:rsid w:val="10BC41A0"/>
    <w:rsid w:val="10CC2618"/>
    <w:rsid w:val="10DD1F8E"/>
    <w:rsid w:val="10FA61E7"/>
    <w:rsid w:val="110C5208"/>
    <w:rsid w:val="111F2DD2"/>
    <w:rsid w:val="112D4302"/>
    <w:rsid w:val="112E6260"/>
    <w:rsid w:val="113504F7"/>
    <w:rsid w:val="113C6821"/>
    <w:rsid w:val="1147790B"/>
    <w:rsid w:val="115225F0"/>
    <w:rsid w:val="1182526D"/>
    <w:rsid w:val="119B5D70"/>
    <w:rsid w:val="11B61B0D"/>
    <w:rsid w:val="11D5633D"/>
    <w:rsid w:val="11E837E4"/>
    <w:rsid w:val="11F17A63"/>
    <w:rsid w:val="11F67D9B"/>
    <w:rsid w:val="12021F50"/>
    <w:rsid w:val="120C7329"/>
    <w:rsid w:val="121D5B4B"/>
    <w:rsid w:val="12301AE7"/>
    <w:rsid w:val="12444598"/>
    <w:rsid w:val="124E5814"/>
    <w:rsid w:val="12595D2F"/>
    <w:rsid w:val="127D1F45"/>
    <w:rsid w:val="12C04F39"/>
    <w:rsid w:val="12C40FFA"/>
    <w:rsid w:val="12CB401C"/>
    <w:rsid w:val="12E965CC"/>
    <w:rsid w:val="12F4204C"/>
    <w:rsid w:val="12F53C36"/>
    <w:rsid w:val="12F629FD"/>
    <w:rsid w:val="13085F47"/>
    <w:rsid w:val="133D42F8"/>
    <w:rsid w:val="137A2F31"/>
    <w:rsid w:val="13D0437D"/>
    <w:rsid w:val="13EB653A"/>
    <w:rsid w:val="143633C1"/>
    <w:rsid w:val="14447004"/>
    <w:rsid w:val="148B416E"/>
    <w:rsid w:val="14967166"/>
    <w:rsid w:val="14B35000"/>
    <w:rsid w:val="14BA370F"/>
    <w:rsid w:val="14ED01F3"/>
    <w:rsid w:val="14ED4B59"/>
    <w:rsid w:val="14FB1132"/>
    <w:rsid w:val="15045BB5"/>
    <w:rsid w:val="15240958"/>
    <w:rsid w:val="153B505C"/>
    <w:rsid w:val="1555059D"/>
    <w:rsid w:val="156343BB"/>
    <w:rsid w:val="1565087E"/>
    <w:rsid w:val="158A0564"/>
    <w:rsid w:val="158B400F"/>
    <w:rsid w:val="15A11FB8"/>
    <w:rsid w:val="15B36D47"/>
    <w:rsid w:val="15B46424"/>
    <w:rsid w:val="15CE39E1"/>
    <w:rsid w:val="15FC5922"/>
    <w:rsid w:val="16040A53"/>
    <w:rsid w:val="161E7E44"/>
    <w:rsid w:val="16230D78"/>
    <w:rsid w:val="16297D15"/>
    <w:rsid w:val="1630144A"/>
    <w:rsid w:val="16353B21"/>
    <w:rsid w:val="16577C71"/>
    <w:rsid w:val="165D633E"/>
    <w:rsid w:val="167A08DB"/>
    <w:rsid w:val="169C3C23"/>
    <w:rsid w:val="16A21031"/>
    <w:rsid w:val="16AF20C8"/>
    <w:rsid w:val="16C45014"/>
    <w:rsid w:val="16CE3870"/>
    <w:rsid w:val="16FD1B3C"/>
    <w:rsid w:val="170F58EB"/>
    <w:rsid w:val="1729078F"/>
    <w:rsid w:val="173552AE"/>
    <w:rsid w:val="174014CD"/>
    <w:rsid w:val="17524160"/>
    <w:rsid w:val="17733954"/>
    <w:rsid w:val="177B11D8"/>
    <w:rsid w:val="177E3516"/>
    <w:rsid w:val="17972FF1"/>
    <w:rsid w:val="179F16DF"/>
    <w:rsid w:val="17A94745"/>
    <w:rsid w:val="17AB559C"/>
    <w:rsid w:val="17B41841"/>
    <w:rsid w:val="17C73E6F"/>
    <w:rsid w:val="17C85590"/>
    <w:rsid w:val="17DD3D14"/>
    <w:rsid w:val="17F0025A"/>
    <w:rsid w:val="18157B84"/>
    <w:rsid w:val="18231987"/>
    <w:rsid w:val="185E1795"/>
    <w:rsid w:val="1870656C"/>
    <w:rsid w:val="188C3081"/>
    <w:rsid w:val="18961811"/>
    <w:rsid w:val="18A876F2"/>
    <w:rsid w:val="18A92EF4"/>
    <w:rsid w:val="18B9480E"/>
    <w:rsid w:val="18B9619D"/>
    <w:rsid w:val="18D656A7"/>
    <w:rsid w:val="18D84B14"/>
    <w:rsid w:val="18DF1279"/>
    <w:rsid w:val="18E44632"/>
    <w:rsid w:val="18EC7A62"/>
    <w:rsid w:val="1906167E"/>
    <w:rsid w:val="191E4FD4"/>
    <w:rsid w:val="19314B52"/>
    <w:rsid w:val="195B34A6"/>
    <w:rsid w:val="1971594C"/>
    <w:rsid w:val="19860797"/>
    <w:rsid w:val="199F1A36"/>
    <w:rsid w:val="19B519BD"/>
    <w:rsid w:val="19C07FE2"/>
    <w:rsid w:val="19EE538B"/>
    <w:rsid w:val="19F05575"/>
    <w:rsid w:val="1A0F29BA"/>
    <w:rsid w:val="1A0F34CF"/>
    <w:rsid w:val="1A603785"/>
    <w:rsid w:val="1A6518FC"/>
    <w:rsid w:val="1A6A540C"/>
    <w:rsid w:val="1A6A7860"/>
    <w:rsid w:val="1A6E146B"/>
    <w:rsid w:val="1A7F5B09"/>
    <w:rsid w:val="1A8009D5"/>
    <w:rsid w:val="1AAF2D26"/>
    <w:rsid w:val="1AC474F7"/>
    <w:rsid w:val="1AC860B3"/>
    <w:rsid w:val="1ACB3201"/>
    <w:rsid w:val="1ADA65A6"/>
    <w:rsid w:val="1AE16AA7"/>
    <w:rsid w:val="1B0D1C1A"/>
    <w:rsid w:val="1B121DC3"/>
    <w:rsid w:val="1B142779"/>
    <w:rsid w:val="1B3262A8"/>
    <w:rsid w:val="1B46240B"/>
    <w:rsid w:val="1B543C49"/>
    <w:rsid w:val="1B56197D"/>
    <w:rsid w:val="1B5C4729"/>
    <w:rsid w:val="1BA608F4"/>
    <w:rsid w:val="1BA72A41"/>
    <w:rsid w:val="1BAE47BF"/>
    <w:rsid w:val="1BBC0700"/>
    <w:rsid w:val="1BD30177"/>
    <w:rsid w:val="1BE54A4F"/>
    <w:rsid w:val="1BEE218B"/>
    <w:rsid w:val="1C0A51E7"/>
    <w:rsid w:val="1C0B509C"/>
    <w:rsid w:val="1C10754A"/>
    <w:rsid w:val="1C12776F"/>
    <w:rsid w:val="1C1A1A3D"/>
    <w:rsid w:val="1C2C3BC4"/>
    <w:rsid w:val="1C6B29BC"/>
    <w:rsid w:val="1C7862ED"/>
    <w:rsid w:val="1C8C5F66"/>
    <w:rsid w:val="1CB35C0A"/>
    <w:rsid w:val="1CB60E0C"/>
    <w:rsid w:val="1CB731AA"/>
    <w:rsid w:val="1CCD0569"/>
    <w:rsid w:val="1CCD3031"/>
    <w:rsid w:val="1CD203FA"/>
    <w:rsid w:val="1CD6670A"/>
    <w:rsid w:val="1CE77041"/>
    <w:rsid w:val="1D32554B"/>
    <w:rsid w:val="1D3F776F"/>
    <w:rsid w:val="1D5F1AB5"/>
    <w:rsid w:val="1D754862"/>
    <w:rsid w:val="1D9F79C0"/>
    <w:rsid w:val="1DA069AB"/>
    <w:rsid w:val="1DB03CD0"/>
    <w:rsid w:val="1DCD63C1"/>
    <w:rsid w:val="1E1D3477"/>
    <w:rsid w:val="1E292E52"/>
    <w:rsid w:val="1E32575C"/>
    <w:rsid w:val="1E355016"/>
    <w:rsid w:val="1E5F0B81"/>
    <w:rsid w:val="1E746983"/>
    <w:rsid w:val="1E761259"/>
    <w:rsid w:val="1E795006"/>
    <w:rsid w:val="1E87205F"/>
    <w:rsid w:val="1E8A2727"/>
    <w:rsid w:val="1E9756A8"/>
    <w:rsid w:val="1EA05556"/>
    <w:rsid w:val="1EBD555B"/>
    <w:rsid w:val="1EC34334"/>
    <w:rsid w:val="1EDA5714"/>
    <w:rsid w:val="1EF4423E"/>
    <w:rsid w:val="1EF834FA"/>
    <w:rsid w:val="1F04279E"/>
    <w:rsid w:val="1F1E7609"/>
    <w:rsid w:val="1F3E134B"/>
    <w:rsid w:val="1F4420BD"/>
    <w:rsid w:val="1F5A124B"/>
    <w:rsid w:val="1F930FFB"/>
    <w:rsid w:val="1F951272"/>
    <w:rsid w:val="1F996E47"/>
    <w:rsid w:val="1F9A79B8"/>
    <w:rsid w:val="1FB22109"/>
    <w:rsid w:val="1FBA3ED3"/>
    <w:rsid w:val="1FDA0242"/>
    <w:rsid w:val="1FDE464D"/>
    <w:rsid w:val="1FE24C1A"/>
    <w:rsid w:val="1FF26376"/>
    <w:rsid w:val="1FFE0C15"/>
    <w:rsid w:val="20062518"/>
    <w:rsid w:val="200665A4"/>
    <w:rsid w:val="20176E67"/>
    <w:rsid w:val="202567F2"/>
    <w:rsid w:val="202E00BA"/>
    <w:rsid w:val="203945B9"/>
    <w:rsid w:val="203B5E4A"/>
    <w:rsid w:val="20461A3D"/>
    <w:rsid w:val="20534041"/>
    <w:rsid w:val="20784847"/>
    <w:rsid w:val="207B46C6"/>
    <w:rsid w:val="209C5FA2"/>
    <w:rsid w:val="20BD6541"/>
    <w:rsid w:val="20C43619"/>
    <w:rsid w:val="20CD3EBD"/>
    <w:rsid w:val="20FB092C"/>
    <w:rsid w:val="21100555"/>
    <w:rsid w:val="21155B4A"/>
    <w:rsid w:val="214413FE"/>
    <w:rsid w:val="214D7A02"/>
    <w:rsid w:val="2171154B"/>
    <w:rsid w:val="217F1AF7"/>
    <w:rsid w:val="21843547"/>
    <w:rsid w:val="218911D0"/>
    <w:rsid w:val="218976B4"/>
    <w:rsid w:val="21AD55F8"/>
    <w:rsid w:val="21C64D07"/>
    <w:rsid w:val="21E26DB5"/>
    <w:rsid w:val="21EA1495"/>
    <w:rsid w:val="21EA7F94"/>
    <w:rsid w:val="21EC40C9"/>
    <w:rsid w:val="21F370B0"/>
    <w:rsid w:val="22046B09"/>
    <w:rsid w:val="220516E6"/>
    <w:rsid w:val="22062C99"/>
    <w:rsid w:val="221D390D"/>
    <w:rsid w:val="2251345B"/>
    <w:rsid w:val="22541F87"/>
    <w:rsid w:val="226E709F"/>
    <w:rsid w:val="22735D5B"/>
    <w:rsid w:val="227832D3"/>
    <w:rsid w:val="22800451"/>
    <w:rsid w:val="2283045E"/>
    <w:rsid w:val="22960798"/>
    <w:rsid w:val="229D732F"/>
    <w:rsid w:val="22B1591D"/>
    <w:rsid w:val="22B81FA1"/>
    <w:rsid w:val="22BA4BAC"/>
    <w:rsid w:val="23054204"/>
    <w:rsid w:val="23066402"/>
    <w:rsid w:val="23076FF0"/>
    <w:rsid w:val="230C46D3"/>
    <w:rsid w:val="23373898"/>
    <w:rsid w:val="234423F0"/>
    <w:rsid w:val="23643650"/>
    <w:rsid w:val="23692D78"/>
    <w:rsid w:val="23785703"/>
    <w:rsid w:val="239F3823"/>
    <w:rsid w:val="23AA1FD3"/>
    <w:rsid w:val="23C11DB6"/>
    <w:rsid w:val="23CC7FFB"/>
    <w:rsid w:val="23D2514D"/>
    <w:rsid w:val="23D27EB2"/>
    <w:rsid w:val="23DC09E4"/>
    <w:rsid w:val="23FA1FE5"/>
    <w:rsid w:val="24086C55"/>
    <w:rsid w:val="241F4950"/>
    <w:rsid w:val="24202B07"/>
    <w:rsid w:val="242C61E4"/>
    <w:rsid w:val="24551735"/>
    <w:rsid w:val="246608C7"/>
    <w:rsid w:val="247833A1"/>
    <w:rsid w:val="248E10A0"/>
    <w:rsid w:val="248F1A89"/>
    <w:rsid w:val="24B410D9"/>
    <w:rsid w:val="24B776A7"/>
    <w:rsid w:val="24E24F2D"/>
    <w:rsid w:val="24E54B88"/>
    <w:rsid w:val="24F32E9C"/>
    <w:rsid w:val="25114D73"/>
    <w:rsid w:val="251D3512"/>
    <w:rsid w:val="25441DB3"/>
    <w:rsid w:val="255414CA"/>
    <w:rsid w:val="25661F7C"/>
    <w:rsid w:val="258E565A"/>
    <w:rsid w:val="25A0480E"/>
    <w:rsid w:val="25CA6379"/>
    <w:rsid w:val="25E94392"/>
    <w:rsid w:val="25EB46EB"/>
    <w:rsid w:val="26007EDB"/>
    <w:rsid w:val="261F3F85"/>
    <w:rsid w:val="262B46D7"/>
    <w:rsid w:val="26500679"/>
    <w:rsid w:val="265449C4"/>
    <w:rsid w:val="269478AE"/>
    <w:rsid w:val="269660A0"/>
    <w:rsid w:val="26A36673"/>
    <w:rsid w:val="26A37F45"/>
    <w:rsid w:val="26A5652B"/>
    <w:rsid w:val="26A8535D"/>
    <w:rsid w:val="26DC48C5"/>
    <w:rsid w:val="2706587A"/>
    <w:rsid w:val="271E0E63"/>
    <w:rsid w:val="274054D1"/>
    <w:rsid w:val="2749405A"/>
    <w:rsid w:val="276E08C0"/>
    <w:rsid w:val="2785154C"/>
    <w:rsid w:val="27880FEE"/>
    <w:rsid w:val="279707A8"/>
    <w:rsid w:val="27992861"/>
    <w:rsid w:val="279A1463"/>
    <w:rsid w:val="27AD4AF4"/>
    <w:rsid w:val="27B36B7E"/>
    <w:rsid w:val="27D32B13"/>
    <w:rsid w:val="27D4652E"/>
    <w:rsid w:val="27D668C5"/>
    <w:rsid w:val="27E2669F"/>
    <w:rsid w:val="27F83C9F"/>
    <w:rsid w:val="28385920"/>
    <w:rsid w:val="28487047"/>
    <w:rsid w:val="28533044"/>
    <w:rsid w:val="28951D06"/>
    <w:rsid w:val="289870A9"/>
    <w:rsid w:val="289D15B5"/>
    <w:rsid w:val="28A27591"/>
    <w:rsid w:val="28C4410E"/>
    <w:rsid w:val="28D46356"/>
    <w:rsid w:val="28E7656A"/>
    <w:rsid w:val="29102BB7"/>
    <w:rsid w:val="29243F4D"/>
    <w:rsid w:val="295353E6"/>
    <w:rsid w:val="296341F3"/>
    <w:rsid w:val="298447DE"/>
    <w:rsid w:val="298F54D6"/>
    <w:rsid w:val="29A17514"/>
    <w:rsid w:val="29A35A97"/>
    <w:rsid w:val="29A54173"/>
    <w:rsid w:val="29B343FF"/>
    <w:rsid w:val="2A2354D8"/>
    <w:rsid w:val="2A341DC7"/>
    <w:rsid w:val="2A3B0802"/>
    <w:rsid w:val="2A6B463D"/>
    <w:rsid w:val="2A8329A5"/>
    <w:rsid w:val="2A973AC8"/>
    <w:rsid w:val="2ABA19BE"/>
    <w:rsid w:val="2ADE7FAB"/>
    <w:rsid w:val="2AE53467"/>
    <w:rsid w:val="2B577D69"/>
    <w:rsid w:val="2B605525"/>
    <w:rsid w:val="2B674D76"/>
    <w:rsid w:val="2B6E3A3E"/>
    <w:rsid w:val="2B8B551A"/>
    <w:rsid w:val="2BA17B5E"/>
    <w:rsid w:val="2BAE5245"/>
    <w:rsid w:val="2BC33B35"/>
    <w:rsid w:val="2BC72843"/>
    <w:rsid w:val="2BD87CD0"/>
    <w:rsid w:val="2BE15F99"/>
    <w:rsid w:val="2BF3741D"/>
    <w:rsid w:val="2C0A3184"/>
    <w:rsid w:val="2C216675"/>
    <w:rsid w:val="2C271325"/>
    <w:rsid w:val="2C306948"/>
    <w:rsid w:val="2C386BB9"/>
    <w:rsid w:val="2C3D01A4"/>
    <w:rsid w:val="2C616F85"/>
    <w:rsid w:val="2C71557B"/>
    <w:rsid w:val="2C841865"/>
    <w:rsid w:val="2C9F4EE5"/>
    <w:rsid w:val="2CA56ADD"/>
    <w:rsid w:val="2CAF6062"/>
    <w:rsid w:val="2CC04C3F"/>
    <w:rsid w:val="2CC12D95"/>
    <w:rsid w:val="2CD22774"/>
    <w:rsid w:val="2CE52E14"/>
    <w:rsid w:val="2D13440C"/>
    <w:rsid w:val="2D221C27"/>
    <w:rsid w:val="2D36307B"/>
    <w:rsid w:val="2D491EF6"/>
    <w:rsid w:val="2D4B34AF"/>
    <w:rsid w:val="2D7256F4"/>
    <w:rsid w:val="2D7D71D1"/>
    <w:rsid w:val="2D811DAC"/>
    <w:rsid w:val="2D824FAF"/>
    <w:rsid w:val="2D837A51"/>
    <w:rsid w:val="2DE4201C"/>
    <w:rsid w:val="2E1D0A29"/>
    <w:rsid w:val="2E2214EB"/>
    <w:rsid w:val="2E363AAB"/>
    <w:rsid w:val="2E5205B5"/>
    <w:rsid w:val="2E6F3C4F"/>
    <w:rsid w:val="2E793BE0"/>
    <w:rsid w:val="2E7D4A33"/>
    <w:rsid w:val="2E7F669D"/>
    <w:rsid w:val="2E8577AA"/>
    <w:rsid w:val="2E892613"/>
    <w:rsid w:val="2EC2482A"/>
    <w:rsid w:val="2EC96405"/>
    <w:rsid w:val="2EE84B58"/>
    <w:rsid w:val="2EEE3B65"/>
    <w:rsid w:val="2EF56DD4"/>
    <w:rsid w:val="2F143210"/>
    <w:rsid w:val="2F16160D"/>
    <w:rsid w:val="2F1965A2"/>
    <w:rsid w:val="2F1B4FB7"/>
    <w:rsid w:val="2F261EE0"/>
    <w:rsid w:val="2F347AF2"/>
    <w:rsid w:val="2F397228"/>
    <w:rsid w:val="2F6C006D"/>
    <w:rsid w:val="2F9F7ADB"/>
    <w:rsid w:val="2FA70495"/>
    <w:rsid w:val="2FC6117E"/>
    <w:rsid w:val="2FDF42CD"/>
    <w:rsid w:val="2FEC4E0A"/>
    <w:rsid w:val="2FFE768E"/>
    <w:rsid w:val="30021656"/>
    <w:rsid w:val="30196F7B"/>
    <w:rsid w:val="3022197E"/>
    <w:rsid w:val="302221F7"/>
    <w:rsid w:val="30234A42"/>
    <w:rsid w:val="30254490"/>
    <w:rsid w:val="30342865"/>
    <w:rsid w:val="3037436F"/>
    <w:rsid w:val="30501D33"/>
    <w:rsid w:val="30740B8E"/>
    <w:rsid w:val="30897E0A"/>
    <w:rsid w:val="30D6546E"/>
    <w:rsid w:val="30E730C3"/>
    <w:rsid w:val="30E94903"/>
    <w:rsid w:val="31073E27"/>
    <w:rsid w:val="311C6926"/>
    <w:rsid w:val="31221B85"/>
    <w:rsid w:val="315174A9"/>
    <w:rsid w:val="31677564"/>
    <w:rsid w:val="3168491E"/>
    <w:rsid w:val="3178158E"/>
    <w:rsid w:val="3199665D"/>
    <w:rsid w:val="31B01B4E"/>
    <w:rsid w:val="31F80A9A"/>
    <w:rsid w:val="32047DCA"/>
    <w:rsid w:val="320828E1"/>
    <w:rsid w:val="32697D44"/>
    <w:rsid w:val="326E50B8"/>
    <w:rsid w:val="327631F4"/>
    <w:rsid w:val="327D1084"/>
    <w:rsid w:val="327E6664"/>
    <w:rsid w:val="32D569F7"/>
    <w:rsid w:val="32EC78F0"/>
    <w:rsid w:val="32EF1E93"/>
    <w:rsid w:val="32FB3AD4"/>
    <w:rsid w:val="33051042"/>
    <w:rsid w:val="33055644"/>
    <w:rsid w:val="330C3FC2"/>
    <w:rsid w:val="331705AC"/>
    <w:rsid w:val="332349A5"/>
    <w:rsid w:val="33243AD9"/>
    <w:rsid w:val="3330245A"/>
    <w:rsid w:val="33355CCB"/>
    <w:rsid w:val="33612490"/>
    <w:rsid w:val="336B086B"/>
    <w:rsid w:val="337E0C62"/>
    <w:rsid w:val="33940E96"/>
    <w:rsid w:val="339F341B"/>
    <w:rsid w:val="33A724EE"/>
    <w:rsid w:val="33E10976"/>
    <w:rsid w:val="3407536A"/>
    <w:rsid w:val="34104D4C"/>
    <w:rsid w:val="34253971"/>
    <w:rsid w:val="342638B3"/>
    <w:rsid w:val="34675A77"/>
    <w:rsid w:val="346E3BBB"/>
    <w:rsid w:val="347B4A7C"/>
    <w:rsid w:val="347B79A2"/>
    <w:rsid w:val="34A47556"/>
    <w:rsid w:val="34B44D4D"/>
    <w:rsid w:val="34BB0708"/>
    <w:rsid w:val="34C06FD3"/>
    <w:rsid w:val="34CA5108"/>
    <w:rsid w:val="34E26BDE"/>
    <w:rsid w:val="352978C7"/>
    <w:rsid w:val="352B4327"/>
    <w:rsid w:val="352C7EA8"/>
    <w:rsid w:val="353A6FA3"/>
    <w:rsid w:val="35466E38"/>
    <w:rsid w:val="35660B83"/>
    <w:rsid w:val="358259D7"/>
    <w:rsid w:val="35911665"/>
    <w:rsid w:val="35A71872"/>
    <w:rsid w:val="35D1779B"/>
    <w:rsid w:val="35D76B12"/>
    <w:rsid w:val="35EE4477"/>
    <w:rsid w:val="35F86C9B"/>
    <w:rsid w:val="35FA1966"/>
    <w:rsid w:val="36323BCC"/>
    <w:rsid w:val="368470A2"/>
    <w:rsid w:val="36882BC8"/>
    <w:rsid w:val="369F0A82"/>
    <w:rsid w:val="36A67CCF"/>
    <w:rsid w:val="36AE3A2E"/>
    <w:rsid w:val="36B60868"/>
    <w:rsid w:val="36CC46F5"/>
    <w:rsid w:val="36D37EA5"/>
    <w:rsid w:val="36E62225"/>
    <w:rsid w:val="36F80BF4"/>
    <w:rsid w:val="36FA510F"/>
    <w:rsid w:val="37005F51"/>
    <w:rsid w:val="37090CD6"/>
    <w:rsid w:val="37266635"/>
    <w:rsid w:val="372E7110"/>
    <w:rsid w:val="373076E4"/>
    <w:rsid w:val="37435836"/>
    <w:rsid w:val="37454F55"/>
    <w:rsid w:val="37553354"/>
    <w:rsid w:val="377536DF"/>
    <w:rsid w:val="37C33BCD"/>
    <w:rsid w:val="37D23125"/>
    <w:rsid w:val="37F21C1F"/>
    <w:rsid w:val="380806BC"/>
    <w:rsid w:val="3810689A"/>
    <w:rsid w:val="3815399E"/>
    <w:rsid w:val="3824679F"/>
    <w:rsid w:val="38292433"/>
    <w:rsid w:val="38802AF6"/>
    <w:rsid w:val="38885757"/>
    <w:rsid w:val="38894CC5"/>
    <w:rsid w:val="388B5F88"/>
    <w:rsid w:val="388C2765"/>
    <w:rsid w:val="38B5650E"/>
    <w:rsid w:val="38D0609A"/>
    <w:rsid w:val="38E75855"/>
    <w:rsid w:val="391448A6"/>
    <w:rsid w:val="39242731"/>
    <w:rsid w:val="392F7A16"/>
    <w:rsid w:val="39400F78"/>
    <w:rsid w:val="39674F58"/>
    <w:rsid w:val="39712E42"/>
    <w:rsid w:val="397864CF"/>
    <w:rsid w:val="39B22662"/>
    <w:rsid w:val="39B9173D"/>
    <w:rsid w:val="39BB5743"/>
    <w:rsid w:val="39C656CF"/>
    <w:rsid w:val="39D63D78"/>
    <w:rsid w:val="39E258BA"/>
    <w:rsid w:val="3A270BF4"/>
    <w:rsid w:val="3A2C5E09"/>
    <w:rsid w:val="3A374711"/>
    <w:rsid w:val="3A482F39"/>
    <w:rsid w:val="3A542FF7"/>
    <w:rsid w:val="3A6C716A"/>
    <w:rsid w:val="3A7923EF"/>
    <w:rsid w:val="3A877262"/>
    <w:rsid w:val="3AA31AA3"/>
    <w:rsid w:val="3AA840F1"/>
    <w:rsid w:val="3B1D294C"/>
    <w:rsid w:val="3B2E7228"/>
    <w:rsid w:val="3B476ACD"/>
    <w:rsid w:val="3B4A4D1A"/>
    <w:rsid w:val="3B6B4D34"/>
    <w:rsid w:val="3B76430B"/>
    <w:rsid w:val="3B783C6A"/>
    <w:rsid w:val="3B916781"/>
    <w:rsid w:val="3BB35154"/>
    <w:rsid w:val="3BDD02C5"/>
    <w:rsid w:val="3BDD63FF"/>
    <w:rsid w:val="3C037F52"/>
    <w:rsid w:val="3C15010E"/>
    <w:rsid w:val="3C190371"/>
    <w:rsid w:val="3C4A7B8C"/>
    <w:rsid w:val="3C4E355F"/>
    <w:rsid w:val="3C6463FA"/>
    <w:rsid w:val="3C7C106B"/>
    <w:rsid w:val="3C91369C"/>
    <w:rsid w:val="3CA84C67"/>
    <w:rsid w:val="3CB432B3"/>
    <w:rsid w:val="3CBF4CCB"/>
    <w:rsid w:val="3CC9565A"/>
    <w:rsid w:val="3CDA7BF0"/>
    <w:rsid w:val="3CEE7734"/>
    <w:rsid w:val="3D181D64"/>
    <w:rsid w:val="3D444BCA"/>
    <w:rsid w:val="3D53112B"/>
    <w:rsid w:val="3D5F6B77"/>
    <w:rsid w:val="3D6854A5"/>
    <w:rsid w:val="3D84116E"/>
    <w:rsid w:val="3D960706"/>
    <w:rsid w:val="3D977FA2"/>
    <w:rsid w:val="3DAC188B"/>
    <w:rsid w:val="3DB31353"/>
    <w:rsid w:val="3DB47ECB"/>
    <w:rsid w:val="3DFE194E"/>
    <w:rsid w:val="3E023E17"/>
    <w:rsid w:val="3E0456CC"/>
    <w:rsid w:val="3E234932"/>
    <w:rsid w:val="3E4874A6"/>
    <w:rsid w:val="3E5157CB"/>
    <w:rsid w:val="3E6560E4"/>
    <w:rsid w:val="3E83739B"/>
    <w:rsid w:val="3E876A24"/>
    <w:rsid w:val="3E9C6B44"/>
    <w:rsid w:val="3EB64E72"/>
    <w:rsid w:val="3EBF59D0"/>
    <w:rsid w:val="3EF544E6"/>
    <w:rsid w:val="3F0F5CA0"/>
    <w:rsid w:val="3F103723"/>
    <w:rsid w:val="3F113F61"/>
    <w:rsid w:val="3F1B2B21"/>
    <w:rsid w:val="3F246E28"/>
    <w:rsid w:val="3F4C7688"/>
    <w:rsid w:val="3F4E63C2"/>
    <w:rsid w:val="3F820178"/>
    <w:rsid w:val="3FA46322"/>
    <w:rsid w:val="3FD91DCF"/>
    <w:rsid w:val="3FDA1DC1"/>
    <w:rsid w:val="3FF56730"/>
    <w:rsid w:val="40037645"/>
    <w:rsid w:val="401E4738"/>
    <w:rsid w:val="401E708D"/>
    <w:rsid w:val="40231033"/>
    <w:rsid w:val="4023565A"/>
    <w:rsid w:val="40303BE5"/>
    <w:rsid w:val="40377592"/>
    <w:rsid w:val="403C65F0"/>
    <w:rsid w:val="405B77B6"/>
    <w:rsid w:val="405E7E2A"/>
    <w:rsid w:val="406311E6"/>
    <w:rsid w:val="40662CB8"/>
    <w:rsid w:val="406A16BE"/>
    <w:rsid w:val="40AE7DB5"/>
    <w:rsid w:val="40CE2B32"/>
    <w:rsid w:val="40D469B6"/>
    <w:rsid w:val="40E37FEE"/>
    <w:rsid w:val="40E96FB8"/>
    <w:rsid w:val="40FC510A"/>
    <w:rsid w:val="411A5EFA"/>
    <w:rsid w:val="41215444"/>
    <w:rsid w:val="412A0127"/>
    <w:rsid w:val="41604B7A"/>
    <w:rsid w:val="416D2B60"/>
    <w:rsid w:val="41702ABD"/>
    <w:rsid w:val="419E043B"/>
    <w:rsid w:val="41A213BA"/>
    <w:rsid w:val="41B75F61"/>
    <w:rsid w:val="41C92660"/>
    <w:rsid w:val="42006861"/>
    <w:rsid w:val="420829DA"/>
    <w:rsid w:val="421131D8"/>
    <w:rsid w:val="42114789"/>
    <w:rsid w:val="421E6786"/>
    <w:rsid w:val="423A0E18"/>
    <w:rsid w:val="423D5A96"/>
    <w:rsid w:val="424A2D04"/>
    <w:rsid w:val="424F5B49"/>
    <w:rsid w:val="425B63CE"/>
    <w:rsid w:val="42607801"/>
    <w:rsid w:val="4268361D"/>
    <w:rsid w:val="426B3842"/>
    <w:rsid w:val="429D429D"/>
    <w:rsid w:val="42A87540"/>
    <w:rsid w:val="42B72BB4"/>
    <w:rsid w:val="42C3140E"/>
    <w:rsid w:val="42E87348"/>
    <w:rsid w:val="43056CC1"/>
    <w:rsid w:val="43081C3F"/>
    <w:rsid w:val="430D78DE"/>
    <w:rsid w:val="431C16D0"/>
    <w:rsid w:val="4322376C"/>
    <w:rsid w:val="43244A8B"/>
    <w:rsid w:val="43250F50"/>
    <w:rsid w:val="4341335D"/>
    <w:rsid w:val="43496D97"/>
    <w:rsid w:val="434A695B"/>
    <w:rsid w:val="436A4923"/>
    <w:rsid w:val="437003E5"/>
    <w:rsid w:val="43783550"/>
    <w:rsid w:val="437C403E"/>
    <w:rsid w:val="438C1FBD"/>
    <w:rsid w:val="439D20AF"/>
    <w:rsid w:val="43A93A37"/>
    <w:rsid w:val="43AA3579"/>
    <w:rsid w:val="43C92044"/>
    <w:rsid w:val="43D14BEA"/>
    <w:rsid w:val="43E346CC"/>
    <w:rsid w:val="43EE2DD6"/>
    <w:rsid w:val="43F448B1"/>
    <w:rsid w:val="43F6267A"/>
    <w:rsid w:val="44187823"/>
    <w:rsid w:val="443963EC"/>
    <w:rsid w:val="44626EC2"/>
    <w:rsid w:val="44845B95"/>
    <w:rsid w:val="44CE649C"/>
    <w:rsid w:val="44DF3D8B"/>
    <w:rsid w:val="44E40213"/>
    <w:rsid w:val="44E67302"/>
    <w:rsid w:val="44FA39ED"/>
    <w:rsid w:val="44FE3735"/>
    <w:rsid w:val="450D0E36"/>
    <w:rsid w:val="45100AD9"/>
    <w:rsid w:val="45280271"/>
    <w:rsid w:val="454B674A"/>
    <w:rsid w:val="45837D47"/>
    <w:rsid w:val="458F3F2F"/>
    <w:rsid w:val="45BB1406"/>
    <w:rsid w:val="45BE70CB"/>
    <w:rsid w:val="45C341A9"/>
    <w:rsid w:val="45C74089"/>
    <w:rsid w:val="45D50E20"/>
    <w:rsid w:val="45F2294E"/>
    <w:rsid w:val="462346FC"/>
    <w:rsid w:val="46400BBF"/>
    <w:rsid w:val="465E0DA5"/>
    <w:rsid w:val="466A6983"/>
    <w:rsid w:val="46756FE8"/>
    <w:rsid w:val="467D7C19"/>
    <w:rsid w:val="467F34A1"/>
    <w:rsid w:val="468515C7"/>
    <w:rsid w:val="46C43BD1"/>
    <w:rsid w:val="46CB5EB5"/>
    <w:rsid w:val="46EC3E5B"/>
    <w:rsid w:val="46EE736E"/>
    <w:rsid w:val="46F6153D"/>
    <w:rsid w:val="46F95786"/>
    <w:rsid w:val="47050006"/>
    <w:rsid w:val="47100DF3"/>
    <w:rsid w:val="472E4611"/>
    <w:rsid w:val="473E1C84"/>
    <w:rsid w:val="47441585"/>
    <w:rsid w:val="47457D7D"/>
    <w:rsid w:val="474852EF"/>
    <w:rsid w:val="47492F00"/>
    <w:rsid w:val="4750610E"/>
    <w:rsid w:val="47A47D96"/>
    <w:rsid w:val="47B20A8C"/>
    <w:rsid w:val="47BB57BD"/>
    <w:rsid w:val="47D3180F"/>
    <w:rsid w:val="47EF343D"/>
    <w:rsid w:val="47F251E4"/>
    <w:rsid w:val="48240AA8"/>
    <w:rsid w:val="48250CF8"/>
    <w:rsid w:val="486B42DC"/>
    <w:rsid w:val="48737C27"/>
    <w:rsid w:val="488F0B6A"/>
    <w:rsid w:val="489B7043"/>
    <w:rsid w:val="48C7225E"/>
    <w:rsid w:val="48D2569E"/>
    <w:rsid w:val="48FF4516"/>
    <w:rsid w:val="49001B3F"/>
    <w:rsid w:val="493A06BB"/>
    <w:rsid w:val="49442C5E"/>
    <w:rsid w:val="497C5AB0"/>
    <w:rsid w:val="49812A7F"/>
    <w:rsid w:val="49895051"/>
    <w:rsid w:val="498F0BBB"/>
    <w:rsid w:val="49993046"/>
    <w:rsid w:val="499D7C4A"/>
    <w:rsid w:val="49F854BE"/>
    <w:rsid w:val="4A080F4F"/>
    <w:rsid w:val="4A1631AC"/>
    <w:rsid w:val="4A2143B8"/>
    <w:rsid w:val="4A2E0ECB"/>
    <w:rsid w:val="4A38373C"/>
    <w:rsid w:val="4A6A6375"/>
    <w:rsid w:val="4A76120C"/>
    <w:rsid w:val="4A8B4ACE"/>
    <w:rsid w:val="4A8C3685"/>
    <w:rsid w:val="4A926EF6"/>
    <w:rsid w:val="4A970B46"/>
    <w:rsid w:val="4ACE026D"/>
    <w:rsid w:val="4AE53C33"/>
    <w:rsid w:val="4AE61BB5"/>
    <w:rsid w:val="4B0A3297"/>
    <w:rsid w:val="4B2342F6"/>
    <w:rsid w:val="4B241AFD"/>
    <w:rsid w:val="4B2E00BC"/>
    <w:rsid w:val="4B2F707E"/>
    <w:rsid w:val="4B5A1074"/>
    <w:rsid w:val="4B6E5348"/>
    <w:rsid w:val="4B93319E"/>
    <w:rsid w:val="4BA94834"/>
    <w:rsid w:val="4BDE25B9"/>
    <w:rsid w:val="4BE17BFD"/>
    <w:rsid w:val="4BF357BC"/>
    <w:rsid w:val="4C5009C0"/>
    <w:rsid w:val="4C530E40"/>
    <w:rsid w:val="4C563DF5"/>
    <w:rsid w:val="4C761726"/>
    <w:rsid w:val="4C793674"/>
    <w:rsid w:val="4C8911E9"/>
    <w:rsid w:val="4CEA08DD"/>
    <w:rsid w:val="4CF33B63"/>
    <w:rsid w:val="4CF46CCF"/>
    <w:rsid w:val="4CF773EE"/>
    <w:rsid w:val="4D0A379C"/>
    <w:rsid w:val="4D0B7DC8"/>
    <w:rsid w:val="4D1F7FF2"/>
    <w:rsid w:val="4D493872"/>
    <w:rsid w:val="4D5557C5"/>
    <w:rsid w:val="4DBA78F4"/>
    <w:rsid w:val="4DD44CCC"/>
    <w:rsid w:val="4DDD6A1E"/>
    <w:rsid w:val="4DE55586"/>
    <w:rsid w:val="4DE70A72"/>
    <w:rsid w:val="4DE9484C"/>
    <w:rsid w:val="4E331BD9"/>
    <w:rsid w:val="4E5C081F"/>
    <w:rsid w:val="4E69070A"/>
    <w:rsid w:val="4E8B26C3"/>
    <w:rsid w:val="4E8C28D5"/>
    <w:rsid w:val="4E9912F1"/>
    <w:rsid w:val="4EA97825"/>
    <w:rsid w:val="4ED76901"/>
    <w:rsid w:val="4F013FD3"/>
    <w:rsid w:val="4F09543A"/>
    <w:rsid w:val="4F260C07"/>
    <w:rsid w:val="4F3D791D"/>
    <w:rsid w:val="4F7534EA"/>
    <w:rsid w:val="4F8A162B"/>
    <w:rsid w:val="4FA47CCA"/>
    <w:rsid w:val="4FB33123"/>
    <w:rsid w:val="4FC12C7F"/>
    <w:rsid w:val="4FFC6B42"/>
    <w:rsid w:val="501A491E"/>
    <w:rsid w:val="501E3A52"/>
    <w:rsid w:val="502F2A1B"/>
    <w:rsid w:val="503500A5"/>
    <w:rsid w:val="5038102A"/>
    <w:rsid w:val="505D05C7"/>
    <w:rsid w:val="50794B22"/>
    <w:rsid w:val="509803A1"/>
    <w:rsid w:val="50A51E25"/>
    <w:rsid w:val="50A51EF1"/>
    <w:rsid w:val="50D56801"/>
    <w:rsid w:val="50E1178F"/>
    <w:rsid w:val="50F04F55"/>
    <w:rsid w:val="51011FE8"/>
    <w:rsid w:val="51042619"/>
    <w:rsid w:val="51195480"/>
    <w:rsid w:val="51423801"/>
    <w:rsid w:val="516130D4"/>
    <w:rsid w:val="51623FE8"/>
    <w:rsid w:val="516B4980"/>
    <w:rsid w:val="516C5C28"/>
    <w:rsid w:val="51713068"/>
    <w:rsid w:val="51785239"/>
    <w:rsid w:val="518F4E5F"/>
    <w:rsid w:val="51A256D3"/>
    <w:rsid w:val="51AD4C2A"/>
    <w:rsid w:val="51C67E65"/>
    <w:rsid w:val="51C756A0"/>
    <w:rsid w:val="51C76511"/>
    <w:rsid w:val="51CC527A"/>
    <w:rsid w:val="51D1262F"/>
    <w:rsid w:val="51E323EF"/>
    <w:rsid w:val="51E7129B"/>
    <w:rsid w:val="51FB470F"/>
    <w:rsid w:val="520934A3"/>
    <w:rsid w:val="52163C9A"/>
    <w:rsid w:val="521C46C2"/>
    <w:rsid w:val="52294D23"/>
    <w:rsid w:val="523E4CC9"/>
    <w:rsid w:val="527350D1"/>
    <w:rsid w:val="527949B6"/>
    <w:rsid w:val="527A194B"/>
    <w:rsid w:val="528F544B"/>
    <w:rsid w:val="52972BF3"/>
    <w:rsid w:val="52BC29D7"/>
    <w:rsid w:val="52D10D73"/>
    <w:rsid w:val="52D50FE5"/>
    <w:rsid w:val="52E501A8"/>
    <w:rsid w:val="52E54084"/>
    <w:rsid w:val="52F42BF9"/>
    <w:rsid w:val="530178C0"/>
    <w:rsid w:val="53085027"/>
    <w:rsid w:val="530A56F7"/>
    <w:rsid w:val="532C5B84"/>
    <w:rsid w:val="534E6D2C"/>
    <w:rsid w:val="535324BD"/>
    <w:rsid w:val="536611E1"/>
    <w:rsid w:val="536D52C8"/>
    <w:rsid w:val="5384668A"/>
    <w:rsid w:val="539A75E0"/>
    <w:rsid w:val="539B25ED"/>
    <w:rsid w:val="53A043DF"/>
    <w:rsid w:val="53BA6A16"/>
    <w:rsid w:val="53C27B7A"/>
    <w:rsid w:val="53C54A7E"/>
    <w:rsid w:val="53CC6C4A"/>
    <w:rsid w:val="53CD1A4E"/>
    <w:rsid w:val="53DF0DAF"/>
    <w:rsid w:val="540753EA"/>
    <w:rsid w:val="540930BB"/>
    <w:rsid w:val="540B2F57"/>
    <w:rsid w:val="54154F64"/>
    <w:rsid w:val="54464E80"/>
    <w:rsid w:val="544C01DA"/>
    <w:rsid w:val="544F49E2"/>
    <w:rsid w:val="545C15FB"/>
    <w:rsid w:val="545E246E"/>
    <w:rsid w:val="5495453C"/>
    <w:rsid w:val="54B22236"/>
    <w:rsid w:val="54BC174D"/>
    <w:rsid w:val="54D824DB"/>
    <w:rsid w:val="54DE1C6E"/>
    <w:rsid w:val="54E67C46"/>
    <w:rsid w:val="54EB3BC6"/>
    <w:rsid w:val="55015F3A"/>
    <w:rsid w:val="550240DE"/>
    <w:rsid w:val="55094F55"/>
    <w:rsid w:val="55106474"/>
    <w:rsid w:val="5537125A"/>
    <w:rsid w:val="558551CE"/>
    <w:rsid w:val="55880B9A"/>
    <w:rsid w:val="55931450"/>
    <w:rsid w:val="55E405EC"/>
    <w:rsid w:val="55F4166D"/>
    <w:rsid w:val="56002AEF"/>
    <w:rsid w:val="56044F0C"/>
    <w:rsid w:val="56304020"/>
    <w:rsid w:val="563D139C"/>
    <w:rsid w:val="56750F61"/>
    <w:rsid w:val="56862266"/>
    <w:rsid w:val="56984D46"/>
    <w:rsid w:val="56B53EF7"/>
    <w:rsid w:val="56D05C0F"/>
    <w:rsid w:val="56F219E2"/>
    <w:rsid w:val="56F50876"/>
    <w:rsid w:val="56FD1C04"/>
    <w:rsid w:val="57533138"/>
    <w:rsid w:val="5760424F"/>
    <w:rsid w:val="576C3D31"/>
    <w:rsid w:val="57934217"/>
    <w:rsid w:val="57BD2BB8"/>
    <w:rsid w:val="57F401A9"/>
    <w:rsid w:val="57F64A80"/>
    <w:rsid w:val="5810596B"/>
    <w:rsid w:val="581267B2"/>
    <w:rsid w:val="581C40D9"/>
    <w:rsid w:val="585323F6"/>
    <w:rsid w:val="58695436"/>
    <w:rsid w:val="58881C2F"/>
    <w:rsid w:val="58B15E08"/>
    <w:rsid w:val="58B60851"/>
    <w:rsid w:val="58BA4EFC"/>
    <w:rsid w:val="58C529BB"/>
    <w:rsid w:val="58DD7FD9"/>
    <w:rsid w:val="58E7636A"/>
    <w:rsid w:val="59017E43"/>
    <w:rsid w:val="590A108E"/>
    <w:rsid w:val="59237127"/>
    <w:rsid w:val="59291DE3"/>
    <w:rsid w:val="59411F8B"/>
    <w:rsid w:val="594C38B6"/>
    <w:rsid w:val="59525D5E"/>
    <w:rsid w:val="59655988"/>
    <w:rsid w:val="59684890"/>
    <w:rsid w:val="59697F7F"/>
    <w:rsid w:val="596E118F"/>
    <w:rsid w:val="596E7DCD"/>
    <w:rsid w:val="59774E64"/>
    <w:rsid w:val="598B7364"/>
    <w:rsid w:val="59965C38"/>
    <w:rsid w:val="59976E38"/>
    <w:rsid w:val="59B20AEF"/>
    <w:rsid w:val="59DD66C9"/>
    <w:rsid w:val="5A0C602E"/>
    <w:rsid w:val="5A2F6381"/>
    <w:rsid w:val="5A3F75B7"/>
    <w:rsid w:val="5A533E6E"/>
    <w:rsid w:val="5A783688"/>
    <w:rsid w:val="5A7D1659"/>
    <w:rsid w:val="5A87301B"/>
    <w:rsid w:val="5AA14903"/>
    <w:rsid w:val="5AAF422B"/>
    <w:rsid w:val="5AB96265"/>
    <w:rsid w:val="5ABA5FA7"/>
    <w:rsid w:val="5AE36A45"/>
    <w:rsid w:val="5AEA5A59"/>
    <w:rsid w:val="5AEC3A03"/>
    <w:rsid w:val="5AFC1DC4"/>
    <w:rsid w:val="5B0A4D6B"/>
    <w:rsid w:val="5B213FD7"/>
    <w:rsid w:val="5B3845B5"/>
    <w:rsid w:val="5B404226"/>
    <w:rsid w:val="5B461D02"/>
    <w:rsid w:val="5B634E44"/>
    <w:rsid w:val="5B83316C"/>
    <w:rsid w:val="5B883192"/>
    <w:rsid w:val="5B9D177F"/>
    <w:rsid w:val="5BD041FC"/>
    <w:rsid w:val="5C0D3694"/>
    <w:rsid w:val="5C160720"/>
    <w:rsid w:val="5C1A53A0"/>
    <w:rsid w:val="5C2E1BF1"/>
    <w:rsid w:val="5C490888"/>
    <w:rsid w:val="5C4908EE"/>
    <w:rsid w:val="5C94548A"/>
    <w:rsid w:val="5CB976E2"/>
    <w:rsid w:val="5CC46F61"/>
    <w:rsid w:val="5CC6536A"/>
    <w:rsid w:val="5CD379DE"/>
    <w:rsid w:val="5CF16D0E"/>
    <w:rsid w:val="5CF354EF"/>
    <w:rsid w:val="5D0A3484"/>
    <w:rsid w:val="5D420476"/>
    <w:rsid w:val="5D435DDE"/>
    <w:rsid w:val="5D576DF8"/>
    <w:rsid w:val="5D7330FB"/>
    <w:rsid w:val="5D7A01D9"/>
    <w:rsid w:val="5DA93AA7"/>
    <w:rsid w:val="5DAD499B"/>
    <w:rsid w:val="5DAD4E0E"/>
    <w:rsid w:val="5DB365C1"/>
    <w:rsid w:val="5DE34453"/>
    <w:rsid w:val="5DF62319"/>
    <w:rsid w:val="5E062D59"/>
    <w:rsid w:val="5E0E0ACA"/>
    <w:rsid w:val="5E103A5F"/>
    <w:rsid w:val="5E340DC5"/>
    <w:rsid w:val="5E4A5062"/>
    <w:rsid w:val="5E745C31"/>
    <w:rsid w:val="5E873F8E"/>
    <w:rsid w:val="5E8E529D"/>
    <w:rsid w:val="5EA07474"/>
    <w:rsid w:val="5ED9079A"/>
    <w:rsid w:val="5EDF46E2"/>
    <w:rsid w:val="5EE01589"/>
    <w:rsid w:val="5EE61AC4"/>
    <w:rsid w:val="5EE77804"/>
    <w:rsid w:val="5F072160"/>
    <w:rsid w:val="5F0A3FC3"/>
    <w:rsid w:val="5F785320"/>
    <w:rsid w:val="5F7B04C5"/>
    <w:rsid w:val="5F9B3576"/>
    <w:rsid w:val="5F9E57C7"/>
    <w:rsid w:val="5FA15868"/>
    <w:rsid w:val="5FAA7382"/>
    <w:rsid w:val="5FB0245B"/>
    <w:rsid w:val="5FCA3247"/>
    <w:rsid w:val="5FD611CA"/>
    <w:rsid w:val="5FE53CE4"/>
    <w:rsid w:val="5FEB3065"/>
    <w:rsid w:val="5FEE12CA"/>
    <w:rsid w:val="5FFD165D"/>
    <w:rsid w:val="6007279C"/>
    <w:rsid w:val="600A739C"/>
    <w:rsid w:val="601C7E9F"/>
    <w:rsid w:val="601D491B"/>
    <w:rsid w:val="602E7691"/>
    <w:rsid w:val="60315176"/>
    <w:rsid w:val="6034143A"/>
    <w:rsid w:val="605370DB"/>
    <w:rsid w:val="606232AE"/>
    <w:rsid w:val="608720A8"/>
    <w:rsid w:val="60B744D2"/>
    <w:rsid w:val="60BC35F2"/>
    <w:rsid w:val="60BE5593"/>
    <w:rsid w:val="60CC7456"/>
    <w:rsid w:val="60D36E5F"/>
    <w:rsid w:val="60DB1656"/>
    <w:rsid w:val="60DD5762"/>
    <w:rsid w:val="60E313FF"/>
    <w:rsid w:val="60F246CF"/>
    <w:rsid w:val="61245419"/>
    <w:rsid w:val="61324074"/>
    <w:rsid w:val="614B0557"/>
    <w:rsid w:val="614D1FA0"/>
    <w:rsid w:val="616711E7"/>
    <w:rsid w:val="61695D30"/>
    <w:rsid w:val="61803A85"/>
    <w:rsid w:val="61884648"/>
    <w:rsid w:val="619E6B2C"/>
    <w:rsid w:val="61A83D96"/>
    <w:rsid w:val="61B431E2"/>
    <w:rsid w:val="61B57AC0"/>
    <w:rsid w:val="61CC0BC1"/>
    <w:rsid w:val="61D2220B"/>
    <w:rsid w:val="61DB432F"/>
    <w:rsid w:val="61FA1F75"/>
    <w:rsid w:val="620420A4"/>
    <w:rsid w:val="6253121F"/>
    <w:rsid w:val="626418E7"/>
    <w:rsid w:val="626C0CDB"/>
    <w:rsid w:val="62715763"/>
    <w:rsid w:val="629E54C5"/>
    <w:rsid w:val="62E72287"/>
    <w:rsid w:val="62E977D4"/>
    <w:rsid w:val="62F31EF2"/>
    <w:rsid w:val="62FE7D7D"/>
    <w:rsid w:val="63417AE0"/>
    <w:rsid w:val="634C7FA7"/>
    <w:rsid w:val="635414A1"/>
    <w:rsid w:val="6373462E"/>
    <w:rsid w:val="63746519"/>
    <w:rsid w:val="637F5A87"/>
    <w:rsid w:val="63B2141C"/>
    <w:rsid w:val="63B856E2"/>
    <w:rsid w:val="63C97932"/>
    <w:rsid w:val="63D71C0A"/>
    <w:rsid w:val="63D970DD"/>
    <w:rsid w:val="63F869ED"/>
    <w:rsid w:val="63FA0E62"/>
    <w:rsid w:val="63FA10AA"/>
    <w:rsid w:val="645C0A46"/>
    <w:rsid w:val="645F718C"/>
    <w:rsid w:val="64645D19"/>
    <w:rsid w:val="64A55079"/>
    <w:rsid w:val="64A95DBC"/>
    <w:rsid w:val="64B91548"/>
    <w:rsid w:val="64DD3390"/>
    <w:rsid w:val="64F663D3"/>
    <w:rsid w:val="650E1733"/>
    <w:rsid w:val="6519569F"/>
    <w:rsid w:val="654A35FF"/>
    <w:rsid w:val="65960258"/>
    <w:rsid w:val="65960F34"/>
    <w:rsid w:val="65A577AF"/>
    <w:rsid w:val="65A801B0"/>
    <w:rsid w:val="65F31915"/>
    <w:rsid w:val="65F40FE3"/>
    <w:rsid w:val="65FB5C19"/>
    <w:rsid w:val="6611705C"/>
    <w:rsid w:val="66174109"/>
    <w:rsid w:val="662A5935"/>
    <w:rsid w:val="662C5FF3"/>
    <w:rsid w:val="665248C0"/>
    <w:rsid w:val="66743D60"/>
    <w:rsid w:val="66806A8D"/>
    <w:rsid w:val="668E3147"/>
    <w:rsid w:val="669907B9"/>
    <w:rsid w:val="66A973F7"/>
    <w:rsid w:val="66B52D0D"/>
    <w:rsid w:val="66BC0D67"/>
    <w:rsid w:val="66C65905"/>
    <w:rsid w:val="66CD7AB4"/>
    <w:rsid w:val="66D04A67"/>
    <w:rsid w:val="66D165FA"/>
    <w:rsid w:val="66D5242C"/>
    <w:rsid w:val="66DB190F"/>
    <w:rsid w:val="67504B27"/>
    <w:rsid w:val="676058BE"/>
    <w:rsid w:val="677539A5"/>
    <w:rsid w:val="677D3ED9"/>
    <w:rsid w:val="6796188D"/>
    <w:rsid w:val="67A10081"/>
    <w:rsid w:val="67AD0174"/>
    <w:rsid w:val="680038F4"/>
    <w:rsid w:val="681E0BBB"/>
    <w:rsid w:val="68383D03"/>
    <w:rsid w:val="684B717F"/>
    <w:rsid w:val="68894743"/>
    <w:rsid w:val="688C6CFC"/>
    <w:rsid w:val="68966D4C"/>
    <w:rsid w:val="68A405D7"/>
    <w:rsid w:val="68BE7F21"/>
    <w:rsid w:val="68C606EB"/>
    <w:rsid w:val="68CE3899"/>
    <w:rsid w:val="68D07B85"/>
    <w:rsid w:val="68EC771B"/>
    <w:rsid w:val="68F30B42"/>
    <w:rsid w:val="68F90E27"/>
    <w:rsid w:val="69082F4C"/>
    <w:rsid w:val="690A594E"/>
    <w:rsid w:val="690E3463"/>
    <w:rsid w:val="691F67DF"/>
    <w:rsid w:val="6959710E"/>
    <w:rsid w:val="695A74FB"/>
    <w:rsid w:val="695B359C"/>
    <w:rsid w:val="698840FC"/>
    <w:rsid w:val="69974E09"/>
    <w:rsid w:val="69A013A1"/>
    <w:rsid w:val="69B071F3"/>
    <w:rsid w:val="69B21BAC"/>
    <w:rsid w:val="69E42E85"/>
    <w:rsid w:val="69E718CB"/>
    <w:rsid w:val="69E94CBD"/>
    <w:rsid w:val="69FF2362"/>
    <w:rsid w:val="6A1C3809"/>
    <w:rsid w:val="6A1E5D19"/>
    <w:rsid w:val="6A206E29"/>
    <w:rsid w:val="6A2C3644"/>
    <w:rsid w:val="6A30605D"/>
    <w:rsid w:val="6A382C4C"/>
    <w:rsid w:val="6A3864B2"/>
    <w:rsid w:val="6A6809E4"/>
    <w:rsid w:val="6A703458"/>
    <w:rsid w:val="6A7F664D"/>
    <w:rsid w:val="6A906E5D"/>
    <w:rsid w:val="6A9C0962"/>
    <w:rsid w:val="6ADB2952"/>
    <w:rsid w:val="6B1C3BBC"/>
    <w:rsid w:val="6B563C8B"/>
    <w:rsid w:val="6B64206B"/>
    <w:rsid w:val="6B8A2C40"/>
    <w:rsid w:val="6B9C464B"/>
    <w:rsid w:val="6BA17875"/>
    <w:rsid w:val="6BBE52E8"/>
    <w:rsid w:val="6C1134DA"/>
    <w:rsid w:val="6C183A7C"/>
    <w:rsid w:val="6C1914AF"/>
    <w:rsid w:val="6C3449D3"/>
    <w:rsid w:val="6C35541B"/>
    <w:rsid w:val="6C453B6D"/>
    <w:rsid w:val="6C501B6B"/>
    <w:rsid w:val="6C52286B"/>
    <w:rsid w:val="6C665E08"/>
    <w:rsid w:val="6C69231E"/>
    <w:rsid w:val="6C7760CF"/>
    <w:rsid w:val="6CA646F5"/>
    <w:rsid w:val="6CCF4723"/>
    <w:rsid w:val="6CD6181E"/>
    <w:rsid w:val="6CD61F9E"/>
    <w:rsid w:val="6CDA31F8"/>
    <w:rsid w:val="6CE70269"/>
    <w:rsid w:val="6CF84A93"/>
    <w:rsid w:val="6CFD7C5F"/>
    <w:rsid w:val="6D1A2D4A"/>
    <w:rsid w:val="6D721E2F"/>
    <w:rsid w:val="6D8E587F"/>
    <w:rsid w:val="6D983B8A"/>
    <w:rsid w:val="6DA635DC"/>
    <w:rsid w:val="6DAF2107"/>
    <w:rsid w:val="6DB839D8"/>
    <w:rsid w:val="6DD6204B"/>
    <w:rsid w:val="6DE35860"/>
    <w:rsid w:val="6DF161D6"/>
    <w:rsid w:val="6DFE0697"/>
    <w:rsid w:val="6E0813E2"/>
    <w:rsid w:val="6E1B14B6"/>
    <w:rsid w:val="6E2E225F"/>
    <w:rsid w:val="6E366B8D"/>
    <w:rsid w:val="6E44450F"/>
    <w:rsid w:val="6EB170E1"/>
    <w:rsid w:val="6ECE3EE4"/>
    <w:rsid w:val="6EEA46FD"/>
    <w:rsid w:val="6F00057F"/>
    <w:rsid w:val="6F1F5121"/>
    <w:rsid w:val="6F2224B8"/>
    <w:rsid w:val="6F314061"/>
    <w:rsid w:val="6F786F89"/>
    <w:rsid w:val="6F7B5BCF"/>
    <w:rsid w:val="6F8F5CF2"/>
    <w:rsid w:val="6F9853E2"/>
    <w:rsid w:val="6FAA1403"/>
    <w:rsid w:val="6FB22C84"/>
    <w:rsid w:val="6FB73D98"/>
    <w:rsid w:val="6FC12FF2"/>
    <w:rsid w:val="6FCF3900"/>
    <w:rsid w:val="6FE84D80"/>
    <w:rsid w:val="70030492"/>
    <w:rsid w:val="700609BC"/>
    <w:rsid w:val="70077667"/>
    <w:rsid w:val="700F04E7"/>
    <w:rsid w:val="70111102"/>
    <w:rsid w:val="703C2604"/>
    <w:rsid w:val="705557E2"/>
    <w:rsid w:val="705E7788"/>
    <w:rsid w:val="70757EA5"/>
    <w:rsid w:val="70794E17"/>
    <w:rsid w:val="70BC1155"/>
    <w:rsid w:val="70CB21E8"/>
    <w:rsid w:val="70FF2F8F"/>
    <w:rsid w:val="71023581"/>
    <w:rsid w:val="710A2232"/>
    <w:rsid w:val="71357785"/>
    <w:rsid w:val="713F5623"/>
    <w:rsid w:val="71424EE9"/>
    <w:rsid w:val="714A2B7D"/>
    <w:rsid w:val="716817FE"/>
    <w:rsid w:val="716959E5"/>
    <w:rsid w:val="71811D84"/>
    <w:rsid w:val="71887D1B"/>
    <w:rsid w:val="71986246"/>
    <w:rsid w:val="71A70DE4"/>
    <w:rsid w:val="71AB5694"/>
    <w:rsid w:val="71AF3A29"/>
    <w:rsid w:val="71C273E2"/>
    <w:rsid w:val="7211245D"/>
    <w:rsid w:val="721A6873"/>
    <w:rsid w:val="722C0750"/>
    <w:rsid w:val="725F67CF"/>
    <w:rsid w:val="726036CA"/>
    <w:rsid w:val="72727F0F"/>
    <w:rsid w:val="7276213A"/>
    <w:rsid w:val="72C752BC"/>
    <w:rsid w:val="72D65D24"/>
    <w:rsid w:val="72DE5EE2"/>
    <w:rsid w:val="7302342D"/>
    <w:rsid w:val="7309748A"/>
    <w:rsid w:val="73322922"/>
    <w:rsid w:val="73571292"/>
    <w:rsid w:val="735A3672"/>
    <w:rsid w:val="73654448"/>
    <w:rsid w:val="737D3A01"/>
    <w:rsid w:val="739C06B8"/>
    <w:rsid w:val="73A64B37"/>
    <w:rsid w:val="73C12E76"/>
    <w:rsid w:val="73D102DC"/>
    <w:rsid w:val="74292673"/>
    <w:rsid w:val="742E08F9"/>
    <w:rsid w:val="743A2140"/>
    <w:rsid w:val="743F6E4D"/>
    <w:rsid w:val="74420FA9"/>
    <w:rsid w:val="7442522C"/>
    <w:rsid w:val="744467B5"/>
    <w:rsid w:val="744530CF"/>
    <w:rsid w:val="74AE739F"/>
    <w:rsid w:val="74B66881"/>
    <w:rsid w:val="74DB2443"/>
    <w:rsid w:val="74E0465F"/>
    <w:rsid w:val="74E93513"/>
    <w:rsid w:val="74E975A9"/>
    <w:rsid w:val="74F457F1"/>
    <w:rsid w:val="74FC0219"/>
    <w:rsid w:val="751D6976"/>
    <w:rsid w:val="75687D2E"/>
    <w:rsid w:val="75F10B8C"/>
    <w:rsid w:val="75F246FE"/>
    <w:rsid w:val="75FA7548"/>
    <w:rsid w:val="7601178E"/>
    <w:rsid w:val="76085F8A"/>
    <w:rsid w:val="76300F11"/>
    <w:rsid w:val="76300F6C"/>
    <w:rsid w:val="763A03EE"/>
    <w:rsid w:val="765408FA"/>
    <w:rsid w:val="767C58DD"/>
    <w:rsid w:val="76863789"/>
    <w:rsid w:val="768F0540"/>
    <w:rsid w:val="76C83E31"/>
    <w:rsid w:val="76EF6D79"/>
    <w:rsid w:val="76FD47B7"/>
    <w:rsid w:val="770E7E2D"/>
    <w:rsid w:val="77157FF0"/>
    <w:rsid w:val="77444A87"/>
    <w:rsid w:val="775D3624"/>
    <w:rsid w:val="777240B8"/>
    <w:rsid w:val="77747C82"/>
    <w:rsid w:val="77A66DF9"/>
    <w:rsid w:val="77AA3EE4"/>
    <w:rsid w:val="77AA4C22"/>
    <w:rsid w:val="77AE4B5D"/>
    <w:rsid w:val="77B676A8"/>
    <w:rsid w:val="77B84256"/>
    <w:rsid w:val="77C34B64"/>
    <w:rsid w:val="77C60C6B"/>
    <w:rsid w:val="77DE2925"/>
    <w:rsid w:val="77E22AD0"/>
    <w:rsid w:val="77E74011"/>
    <w:rsid w:val="78097E81"/>
    <w:rsid w:val="781654CC"/>
    <w:rsid w:val="781F6D4F"/>
    <w:rsid w:val="78366980"/>
    <w:rsid w:val="7880315A"/>
    <w:rsid w:val="788D0357"/>
    <w:rsid w:val="78A60180"/>
    <w:rsid w:val="78A91105"/>
    <w:rsid w:val="78B77D1E"/>
    <w:rsid w:val="78EA1A6A"/>
    <w:rsid w:val="79160434"/>
    <w:rsid w:val="791610F3"/>
    <w:rsid w:val="791A673D"/>
    <w:rsid w:val="792120BD"/>
    <w:rsid w:val="79547C4B"/>
    <w:rsid w:val="795A736F"/>
    <w:rsid w:val="795B0222"/>
    <w:rsid w:val="796067E4"/>
    <w:rsid w:val="79884BF1"/>
    <w:rsid w:val="79C82F2B"/>
    <w:rsid w:val="79E276F7"/>
    <w:rsid w:val="79E47B0F"/>
    <w:rsid w:val="79EB6C5C"/>
    <w:rsid w:val="7A017C01"/>
    <w:rsid w:val="7A0C2C34"/>
    <w:rsid w:val="7A232701"/>
    <w:rsid w:val="7A2F3AA6"/>
    <w:rsid w:val="7A371D81"/>
    <w:rsid w:val="7A455C46"/>
    <w:rsid w:val="7A4C1E6C"/>
    <w:rsid w:val="7A4C1FAE"/>
    <w:rsid w:val="7A6B1BB8"/>
    <w:rsid w:val="7AA404CF"/>
    <w:rsid w:val="7AA575DA"/>
    <w:rsid w:val="7AAD6F2B"/>
    <w:rsid w:val="7AC944D7"/>
    <w:rsid w:val="7B0E7FA9"/>
    <w:rsid w:val="7B22213E"/>
    <w:rsid w:val="7B2C5214"/>
    <w:rsid w:val="7B336027"/>
    <w:rsid w:val="7B366CA3"/>
    <w:rsid w:val="7B5305D1"/>
    <w:rsid w:val="7B6B1366"/>
    <w:rsid w:val="7B974C50"/>
    <w:rsid w:val="7BB9718A"/>
    <w:rsid w:val="7BBA65C0"/>
    <w:rsid w:val="7BCA1097"/>
    <w:rsid w:val="7BD37033"/>
    <w:rsid w:val="7BF833EB"/>
    <w:rsid w:val="7C0B4A22"/>
    <w:rsid w:val="7C0C2C5D"/>
    <w:rsid w:val="7C280AA5"/>
    <w:rsid w:val="7C520C06"/>
    <w:rsid w:val="7C52734B"/>
    <w:rsid w:val="7C550188"/>
    <w:rsid w:val="7C683163"/>
    <w:rsid w:val="7C741490"/>
    <w:rsid w:val="7C7E7928"/>
    <w:rsid w:val="7C87593B"/>
    <w:rsid w:val="7CB16CB5"/>
    <w:rsid w:val="7CB71A8B"/>
    <w:rsid w:val="7CE644D9"/>
    <w:rsid w:val="7CEB24EC"/>
    <w:rsid w:val="7CF83E93"/>
    <w:rsid w:val="7D1165BD"/>
    <w:rsid w:val="7D21599B"/>
    <w:rsid w:val="7D2276B8"/>
    <w:rsid w:val="7D2D6164"/>
    <w:rsid w:val="7D337F81"/>
    <w:rsid w:val="7D3C2D14"/>
    <w:rsid w:val="7D5B0C01"/>
    <w:rsid w:val="7D706817"/>
    <w:rsid w:val="7D85290B"/>
    <w:rsid w:val="7D877403"/>
    <w:rsid w:val="7DAF433E"/>
    <w:rsid w:val="7DCC658A"/>
    <w:rsid w:val="7DD06774"/>
    <w:rsid w:val="7DD46268"/>
    <w:rsid w:val="7DE16142"/>
    <w:rsid w:val="7DE3517D"/>
    <w:rsid w:val="7DEC598E"/>
    <w:rsid w:val="7DEE3C6B"/>
    <w:rsid w:val="7E0C7BF2"/>
    <w:rsid w:val="7E154120"/>
    <w:rsid w:val="7E1A7A97"/>
    <w:rsid w:val="7E2B3E90"/>
    <w:rsid w:val="7E4A5075"/>
    <w:rsid w:val="7E4D289E"/>
    <w:rsid w:val="7E4F1946"/>
    <w:rsid w:val="7E536F9D"/>
    <w:rsid w:val="7E5C66CC"/>
    <w:rsid w:val="7E7030CE"/>
    <w:rsid w:val="7E731644"/>
    <w:rsid w:val="7E73272D"/>
    <w:rsid w:val="7E8D616D"/>
    <w:rsid w:val="7EC43C0D"/>
    <w:rsid w:val="7EC4706F"/>
    <w:rsid w:val="7EF0023B"/>
    <w:rsid w:val="7F1A029F"/>
    <w:rsid w:val="7F2F02AF"/>
    <w:rsid w:val="7F2F4CE6"/>
    <w:rsid w:val="7F3725B9"/>
    <w:rsid w:val="7F6A1361"/>
    <w:rsid w:val="7F7067C6"/>
    <w:rsid w:val="7F7554C3"/>
    <w:rsid w:val="7F7D39DE"/>
    <w:rsid w:val="7F914720"/>
    <w:rsid w:val="7FB439CA"/>
    <w:rsid w:val="7FB5065D"/>
    <w:rsid w:val="7FD84A57"/>
    <w:rsid w:val="7FE84344"/>
    <w:rsid w:val="7FF90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atLeast"/>
      <w:ind w:firstLine="200" w:firstLineChars="200"/>
      <w:jc w:val="both"/>
    </w:pPr>
    <w:rPr>
      <w:rFonts w:ascii="宋体" w:hAnsi="宋体" w:eastAsia="宋体" w:cs="Times New Roman"/>
      <w:kern w:val="2"/>
      <w:sz w:val="24"/>
      <w:lang w:val="en-US" w:eastAsia="zh-CN" w:bidi="ar-SA"/>
    </w:rPr>
  </w:style>
  <w:style w:type="paragraph" w:styleId="2">
    <w:name w:val="heading 1"/>
    <w:next w:val="1"/>
    <w:qFormat/>
    <w:uiPriority w:val="0"/>
    <w:pPr>
      <w:keepNext/>
      <w:keepLines/>
      <w:numPr>
        <w:ilvl w:val="0"/>
        <w:numId w:val="1"/>
      </w:numPr>
      <w:spacing w:line="480" w:lineRule="auto"/>
      <w:ind w:left="432" w:hanging="432"/>
      <w:jc w:val="both"/>
      <w:outlineLvl w:val="0"/>
    </w:pPr>
    <w:rPr>
      <w:rFonts w:ascii="仿宋_GB2312" w:hAnsi="仿宋_GB2312" w:eastAsia="宋体" w:cs="Times New Roman"/>
      <w:b/>
      <w:kern w:val="44"/>
      <w:sz w:val="32"/>
      <w:lang w:val="en-US" w:eastAsia="zh-CN" w:bidi="ar-SA"/>
    </w:rPr>
  </w:style>
  <w:style w:type="paragraph" w:styleId="3">
    <w:name w:val="heading 2"/>
    <w:basedOn w:val="1"/>
    <w:next w:val="1"/>
    <w:qFormat/>
    <w:uiPriority w:val="0"/>
    <w:pPr>
      <w:keepNext/>
      <w:keepLines/>
      <w:numPr>
        <w:ilvl w:val="1"/>
        <w:numId w:val="1"/>
      </w:numPr>
      <w:tabs>
        <w:tab w:val="left" w:pos="420"/>
      </w:tabs>
      <w:spacing w:line="416" w:lineRule="auto"/>
      <w:ind w:left="575" w:hanging="575" w:firstLineChars="0"/>
      <w:outlineLvl w:val="1"/>
    </w:pPr>
    <w:rPr>
      <w:rFonts w:eastAsia="宋体"/>
      <w:b/>
      <w:sz w:val="30"/>
    </w:rPr>
  </w:style>
  <w:style w:type="paragraph" w:styleId="4">
    <w:name w:val="heading 3"/>
    <w:basedOn w:val="1"/>
    <w:next w:val="1"/>
    <w:link w:val="24"/>
    <w:qFormat/>
    <w:uiPriority w:val="0"/>
    <w:pPr>
      <w:keepNext/>
      <w:keepLines/>
      <w:numPr>
        <w:ilvl w:val="2"/>
        <w:numId w:val="1"/>
      </w:numPr>
      <w:spacing w:line="360" w:lineRule="auto"/>
      <w:ind w:left="720" w:hanging="720" w:firstLineChars="0"/>
      <w:outlineLvl w:val="2"/>
    </w:pPr>
    <w:rPr>
      <w:b/>
      <w:sz w:val="28"/>
    </w:rPr>
  </w:style>
  <w:style w:type="paragraph" w:styleId="5">
    <w:name w:val="heading 4"/>
    <w:basedOn w:val="1"/>
    <w:next w:val="1"/>
    <w:unhideWhenUsed/>
    <w:qFormat/>
    <w:uiPriority w:val="9"/>
    <w:pPr>
      <w:keepNext/>
      <w:keepLines/>
      <w:numPr>
        <w:ilvl w:val="3"/>
        <w:numId w:val="1"/>
      </w:numPr>
      <w:spacing w:line="360" w:lineRule="auto"/>
      <w:ind w:left="864" w:hanging="864" w:firstLineChars="0"/>
      <w:outlineLvl w:val="3"/>
    </w:pPr>
    <w:rPr>
      <w:rFonts w:eastAsia="宋体"/>
      <w:b/>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w:basedOn w:val="1"/>
    <w:unhideWhenUsed/>
    <w:qFormat/>
    <w:uiPriority w:val="99"/>
    <w:pPr>
      <w:spacing w:after="120"/>
    </w:pPr>
    <w:rPr>
      <w:rFonts w:ascii="Calibri" w:hAnsi="Calibri"/>
      <w:szCs w:val="20"/>
    </w:rPr>
  </w:style>
  <w:style w:type="paragraph" w:styleId="13">
    <w:name w:val="Body Text Indent"/>
    <w:basedOn w:val="1"/>
    <w:unhideWhenUsed/>
    <w:qFormat/>
    <w:uiPriority w:val="99"/>
    <w:pPr>
      <w:spacing w:after="120"/>
      <w:ind w:left="420" w:leftChars="200"/>
    </w:pPr>
  </w:style>
  <w:style w:type="paragraph" w:styleId="14">
    <w:name w:val="List 2"/>
    <w:basedOn w:val="1"/>
    <w:unhideWhenUsed/>
    <w:qFormat/>
    <w:uiPriority w:val="99"/>
    <w:pPr>
      <w:ind w:left="100" w:leftChars="200" w:hanging="200" w:hangingChars="200"/>
    </w:pPr>
    <w:rPr>
      <w:szCs w:val="20"/>
    </w:rPr>
  </w:style>
  <w:style w:type="paragraph" w:styleId="15">
    <w:name w:val="Plain Text"/>
    <w:basedOn w:val="1"/>
    <w:qFormat/>
    <w:uiPriority w:val="0"/>
    <w:rPr>
      <w:rFonts w:ascii="宋体" w:hAnsi="Courier New"/>
      <w:szCs w:val="20"/>
    </w:rPr>
  </w:style>
  <w:style w:type="paragraph" w:styleId="16">
    <w:name w:val="footer"/>
    <w:basedOn w:val="1"/>
    <w:link w:val="26"/>
    <w:qFormat/>
    <w:uiPriority w:val="99"/>
    <w:pPr>
      <w:tabs>
        <w:tab w:val="center" w:pos="4153"/>
        <w:tab w:val="right" w:pos="8306"/>
      </w:tabs>
      <w:snapToGrid w:val="0"/>
      <w:jc w:val="left"/>
    </w:pPr>
    <w:rPr>
      <w:sz w:val="18"/>
      <w:szCs w:val="18"/>
      <w:lang w:val="zh-CN"/>
    </w:rPr>
  </w:style>
  <w:style w:type="paragraph" w:styleId="17">
    <w:name w:val="header"/>
    <w:basedOn w:val="1"/>
    <w:qFormat/>
    <w:uiPriority w:val="0"/>
    <w:pPr>
      <w:pBdr>
        <w:bottom w:val="single" w:color="auto" w:sz="6" w:space="1"/>
      </w:pBdr>
      <w:tabs>
        <w:tab w:val="center" w:pos="4153"/>
        <w:tab w:val="right" w:pos="8306"/>
      </w:tabs>
      <w:snapToGrid w:val="0"/>
      <w:ind w:firstLine="0" w:firstLineChars="0"/>
    </w:pPr>
    <w:rPr>
      <w:rFonts w:ascii="Times New Roman" w:hAnsi="Times New Roman" w:eastAsia="宋体"/>
      <w:sz w:val="21"/>
      <w:szCs w:val="18"/>
    </w:rPr>
  </w:style>
  <w:style w:type="paragraph" w:styleId="18">
    <w:name w:val="annotation subject"/>
    <w:next w:val="11"/>
    <w:link w:val="27"/>
    <w:semiHidden/>
    <w:unhideWhenUsed/>
    <w:qFormat/>
    <w:uiPriority w:val="99"/>
    <w:rPr>
      <w:rFonts w:ascii="Times New Roman" w:hAnsi="Times New Roman" w:eastAsia="宋体" w:cs="Times New Roman"/>
      <w:b/>
      <w:bCs/>
      <w:lang w:val="en-US" w:eastAsia="zh-CN" w:bidi="ar-SA"/>
    </w:rPr>
  </w:style>
  <w:style w:type="paragraph" w:styleId="19">
    <w:name w:val="Body Text First Indent 2"/>
    <w:basedOn w:val="13"/>
    <w:unhideWhenUsed/>
    <w:qFormat/>
    <w:uiPriority w:val="99"/>
    <w:pPr>
      <w:tabs>
        <w:tab w:val="left" w:pos="960"/>
      </w:tabs>
      <w:ind w:firstLine="420"/>
    </w:p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customStyle="1" w:styleId="24">
    <w:name w:val="标题 3 字符"/>
    <w:link w:val="4"/>
    <w:qFormat/>
    <w:uiPriority w:val="0"/>
    <w:rPr>
      <w:rFonts w:eastAsia="仿宋_GB2312"/>
      <w:b/>
      <w:sz w:val="28"/>
    </w:rPr>
  </w:style>
  <w:style w:type="paragraph" w:customStyle="1" w:styleId="25">
    <w:name w:val="表格"/>
    <w:qFormat/>
    <w:uiPriority w:val="0"/>
    <w:pPr>
      <w:widowControl w:val="0"/>
      <w:jc w:val="center"/>
    </w:pPr>
    <w:rPr>
      <w:rFonts w:ascii="宋体" w:hAnsi="宋体" w:eastAsia="仿宋_GB2312" w:cs="Times New Roman"/>
      <w:sz w:val="21"/>
      <w:szCs w:val="24"/>
      <w:lang w:val="en-US" w:eastAsia="zh-CN" w:bidi="ar-SA"/>
    </w:rPr>
  </w:style>
  <w:style w:type="character" w:customStyle="1" w:styleId="26">
    <w:name w:val="页脚 字符"/>
    <w:link w:val="16"/>
    <w:qFormat/>
    <w:uiPriority w:val="99"/>
    <w:rPr>
      <w:kern w:val="2"/>
      <w:sz w:val="18"/>
      <w:szCs w:val="18"/>
    </w:rPr>
  </w:style>
  <w:style w:type="character" w:customStyle="1" w:styleId="27">
    <w:name w:val="批注主题 字符"/>
    <w:link w:val="18"/>
    <w:semiHidden/>
    <w:qFormat/>
    <w:uiPriority w:val="99"/>
    <w:rPr>
      <w:rFonts w:eastAsia="宋体"/>
      <w:b/>
      <w:bCs/>
      <w:kern w:val="2"/>
      <w:sz w:val="24"/>
    </w:rPr>
  </w:style>
  <w:style w:type="paragraph" w:customStyle="1" w:styleId="28">
    <w:name w:val="修订1"/>
    <w:hidden/>
    <w:semiHidden/>
    <w:qFormat/>
    <w:uiPriority w:val="99"/>
    <w:rPr>
      <w:rFonts w:ascii="仿宋_GB2312" w:hAnsi="仿宋_GB2312" w:eastAsia="仿宋_GB2312" w:cs="Times New Roman"/>
      <w:kern w:val="2"/>
      <w:sz w:val="24"/>
      <w:lang w:val="en-US" w:eastAsia="zh-CN" w:bidi="ar-SA"/>
    </w:rPr>
  </w:style>
  <w:style w:type="character" w:styleId="29">
    <w:name w:val="Placeholder Text"/>
    <w:basedOn w:val="22"/>
    <w:semiHidden/>
    <w:qFormat/>
    <w:uiPriority w:val="99"/>
    <w:rPr>
      <w:color w:val="808080"/>
    </w:rPr>
  </w:style>
  <w:style w:type="paragraph" w:customStyle="1" w:styleId="30">
    <w:name w:val="表文"/>
    <w:basedOn w:val="1"/>
    <w:qFormat/>
    <w:uiPriority w:val="0"/>
    <w:pPr>
      <w:spacing w:line="240" w:lineRule="auto"/>
      <w:ind w:firstLine="0" w:firstLineChars="0"/>
      <w:jc w:val="center"/>
    </w:pPr>
  </w:style>
  <w:style w:type="table" w:customStyle="1" w:styleId="31">
    <w:name w:val="样式2"/>
    <w:basedOn w:val="20"/>
    <w:qFormat/>
    <w:uiPriority w:val="99"/>
    <w:pPr>
      <w:jc w:val="center"/>
    </w:pPr>
    <w:rPr>
      <w:sz w:val="24"/>
    </w:rPr>
    <w:tblPr>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
    <w:trPr>
      <w:jc w:val="center"/>
    </w:trPr>
    <w:tcPr>
      <w:vAlign w:val="center"/>
    </w:tcPr>
  </w:style>
  <w:style w:type="paragraph" w:customStyle="1" w:styleId="32">
    <w:name w:val="正文521"/>
    <w:basedOn w:val="1"/>
    <w:qFormat/>
    <w:uiPriority w:val="0"/>
    <w:pPr>
      <w:ind w:firstLine="480"/>
    </w:pPr>
    <w:rPr>
      <w:rFonts w:hAnsi="宋体"/>
    </w:rPr>
  </w:style>
  <w:style w:type="character" w:customStyle="1" w:styleId="33">
    <w:name w:val="textcontents"/>
    <w:basedOn w:val="22"/>
    <w:qFormat/>
    <w:uiPriority w:val="0"/>
  </w:style>
  <w:style w:type="paragraph" w:customStyle="1" w:styleId="34">
    <w:name w:val="样式4"/>
    <w:basedOn w:val="1"/>
    <w:qFormat/>
    <w:uiPriority w:val="0"/>
    <w:pPr>
      <w:ind w:firstLine="480" w:firstLineChars="200"/>
    </w:pPr>
    <w:rPr>
      <w:rFonts w:eastAsia="华文中宋"/>
      <w:color w:val="000000"/>
      <w:kern w:val="0"/>
      <w:sz w:val="24"/>
    </w:rPr>
  </w:style>
  <w:style w:type="paragraph" w:customStyle="1" w:styleId="35">
    <w:name w:val="图表内容"/>
    <w:basedOn w:val="12"/>
    <w:qFormat/>
    <w:uiPriority w:val="0"/>
    <w:pPr>
      <w:adjustRightInd w:val="0"/>
      <w:snapToGrid w:val="0"/>
      <w:spacing w:line="240" w:lineRule="atLeast"/>
      <w:jc w:val="center"/>
    </w:pPr>
    <w:rPr>
      <w:rFonts w:ascii="Times New Roman"/>
      <w:bCs/>
      <w:color w:val="000000"/>
      <w:spacing w:val="-17"/>
      <w:kern w:val="21"/>
      <w:sz w:val="20"/>
      <w:szCs w:val="21"/>
    </w:rPr>
  </w:style>
  <w:style w:type="paragraph" w:customStyle="1" w:styleId="36">
    <w:name w:val="Table Paragraph"/>
    <w:basedOn w:val="1"/>
    <w:unhideWhenUsed/>
    <w:qFormat/>
    <w:uiPriority w:val="1"/>
    <w:pPr>
      <w:spacing w:beforeLines="0" w:afterLines="0"/>
    </w:pPr>
    <w:rPr>
      <w:rFonts w:hint="default"/>
      <w:sz w:val="24"/>
    </w:rPr>
  </w:style>
  <w:style w:type="paragraph" w:customStyle="1" w:styleId="37">
    <w:name w:val="样式 宋体 小四 首行缩进:  1 厘米 行距: 1.5 倍行距"/>
    <w:basedOn w:val="1"/>
    <w:qFormat/>
    <w:uiPriority w:val="0"/>
    <w:pPr>
      <w:spacing w:line="360" w:lineRule="auto"/>
      <w:ind w:firstLine="567"/>
    </w:pPr>
    <w:rPr>
      <w:rFonts w:ascii="宋体"/>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5826B-E759-4C9D-905F-33A0A48D008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9176</Words>
  <Characters>10233</Characters>
  <Lines>124</Lines>
  <Paragraphs>35</Paragraphs>
  <TotalTime>0</TotalTime>
  <ScaleCrop>false</ScaleCrop>
  <LinksUpToDate>false</LinksUpToDate>
  <CharactersWithSpaces>10285</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2020-05-21T11:39:00Z</dcterms:created>
  <dc:creator>diy</dc:creator>
  <cp:lastModifiedBy>大菠萝</cp:lastModifiedBy>
  <cp:lastPrinted>2020-12-16T11:15:00Z</cp:lastPrinted>
  <dcterms:modified xsi:type="dcterms:W3CDTF">2026-03-04T06:20:54Z</dcterms:modified>
  <dc:title>桥位地层简单，上覆地层为块石土、卵石土、局部为亚粘土、分布全桥，厚度不等</dc:title>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2052-12.8.2.17149</vt:lpwstr>
  </property>
  <property fmtid="{D5CDD505-2E9C-101B-9397-08002B2CF9AE}" pid="4" name="AMWinEqns">
    <vt:bool>true</vt:bool>
  </property>
  <property fmtid="{D5CDD505-2E9C-101B-9397-08002B2CF9AE}" pid="5" name="ICV">
    <vt:lpwstr>5A2C1CFBA8AB43D7BA984DC5A2F16969</vt:lpwstr>
  </property>
</Properties>
</file>